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52.</w:t>
      </w:r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умов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місцевому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рівні</w:t>
      </w:r>
      <w:proofErr w:type="spellEnd"/>
    </w:p>
    <w:p w:rsidR="00FD185A" w:rsidRPr="00604FB6" w:rsidRDefault="00604FB6" w:rsidP="00604F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FD185A" w:rsidRPr="00604FB6">
        <w:rPr>
          <w:rFonts w:ascii="Times New Roman" w:hAnsi="Times New Roman" w:cs="Times New Roman"/>
          <w:sz w:val="28"/>
          <w:szCs w:val="28"/>
        </w:rPr>
        <w:t>ахід</w:t>
      </w:r>
      <w:proofErr w:type="spellEnd"/>
      <w:r w:rsidR="00FD185A" w:rsidRPr="00604FB6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інститутами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контролю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органами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органами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участь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рад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щокварталу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участь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контролю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r w:rsidRPr="00604FB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Волинській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постійній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обласному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місцевому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Обласна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військова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обласна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рада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територіальні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співпрацюють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благодійними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фондами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амбасадорами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метою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заходах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організовуються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інститутами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85A" w:rsidRPr="00604FB6" w:rsidRDefault="00FD185A" w:rsidP="00604F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FB6">
        <w:rPr>
          <w:rFonts w:ascii="Times New Roman" w:hAnsi="Times New Roman" w:cs="Times New Roman"/>
          <w:b/>
          <w:sz w:val="28"/>
          <w:szCs w:val="28"/>
        </w:rPr>
        <w:t xml:space="preserve">ІІ </w:t>
      </w:r>
      <w:proofErr w:type="spellStart"/>
      <w:r w:rsidRPr="00604FB6">
        <w:rPr>
          <w:rFonts w:ascii="Times New Roman" w:hAnsi="Times New Roman" w:cs="Times New Roman"/>
          <w:b/>
          <w:sz w:val="28"/>
          <w:szCs w:val="28"/>
        </w:rPr>
        <w:t>квартал</w:t>
      </w:r>
      <w:proofErr w:type="spellEnd"/>
      <w:r w:rsidRPr="00604FB6">
        <w:rPr>
          <w:rFonts w:ascii="Times New Roman" w:hAnsi="Times New Roman" w:cs="Times New Roman"/>
          <w:b/>
          <w:sz w:val="28"/>
          <w:szCs w:val="28"/>
        </w:rPr>
        <w:t xml:space="preserve"> 2025 </w:t>
      </w:r>
      <w:proofErr w:type="spellStart"/>
      <w:r w:rsidRPr="00604FB6">
        <w:rPr>
          <w:rFonts w:ascii="Times New Roman" w:hAnsi="Times New Roman" w:cs="Times New Roman"/>
          <w:b/>
          <w:sz w:val="28"/>
          <w:szCs w:val="28"/>
        </w:rPr>
        <w:t>року</w:t>
      </w:r>
      <w:proofErr w:type="spellEnd"/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r w:rsidRPr="00604FB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другому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кварталі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інститути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брали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участь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контролю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органами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органами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активісти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амбасадори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участь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рад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безбарʼєрності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обласній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державній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військовій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створена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Рада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складу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лідери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амбасадори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  </w:t>
      </w:r>
      <w:hyperlink r:id="rId5" w:tgtFrame="_blank" w:history="1">
        <w:r w:rsidRPr="00604FB6">
          <w:rPr>
            <w:rStyle w:val="a3"/>
            <w:rFonts w:ascii="Times New Roman" w:hAnsi="Times New Roman"/>
            <w:sz w:val="28"/>
            <w:szCs w:val="28"/>
          </w:rPr>
          <w:t>https://voladm.gov.ua/category/rada-bezbaryernosti-pri-volinskiy-oblasniy-derdavniy-viyskoviy-administraciyi/1/</w:t>
        </w:r>
      </w:hyperlink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4FB6">
        <w:rPr>
          <w:rFonts w:ascii="Times New Roman" w:hAnsi="Times New Roman" w:cs="Times New Roman"/>
          <w:sz w:val="28"/>
          <w:szCs w:val="28"/>
        </w:rPr>
        <w:lastRenderedPageBreak/>
        <w:t>Усі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54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територіальні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утворили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складу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увійшли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безбар’єрності. </w:t>
      </w:r>
      <w:hyperlink r:id="rId6" w:tgtFrame="_blank" w:history="1">
        <w:r w:rsidRPr="00604FB6">
          <w:rPr>
            <w:rStyle w:val="a3"/>
            <w:rFonts w:ascii="Times New Roman" w:hAnsi="Times New Roman"/>
            <w:sz w:val="28"/>
            <w:szCs w:val="28"/>
          </w:rPr>
          <w:t>https://voladm.gov.ua/article/radi-bezbaryernosti-v-teritorialnih-gromadah-volinskoyi-oblasti/</w:t>
        </w:r>
      </w:hyperlink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FB6">
        <w:rPr>
          <w:rFonts w:ascii="Times New Roman" w:hAnsi="Times New Roman" w:cs="Times New Roman"/>
          <w:sz w:val="28"/>
          <w:szCs w:val="28"/>
        </w:rPr>
        <w:t>08</w:t>
      </w:r>
      <w:proofErr w:type="gram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 2025 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обласній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державній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військовій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проведено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чергове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безбарʼєрності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доповідями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виступили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  </w:t>
      </w:r>
      <w:hyperlink r:id="rId7" w:tgtFrame="_blank" w:history="1">
        <w:r w:rsidRPr="00604FB6">
          <w:rPr>
            <w:rStyle w:val="a3"/>
            <w:rFonts w:ascii="Times New Roman" w:hAnsi="Times New Roman"/>
            <w:sz w:val="28"/>
            <w:szCs w:val="28"/>
          </w:rPr>
          <w:t>https://voladm.gov.ua/admin-assets/files/file/%D0%90%D1%80%D1%85%D1%96%D1%82%D0%B5%D0%BA%D1%82%D1%83%D1%80%D0%B0/%2B%D0%9F%D1%80%D0%BE%D1%82%D0%BE%D0%BA%D0%BE%D0%BB.%20%D0%B7%D0%B0%D1%81%D1%96%D0%B4%D0%B0%D0%BD%D0%BD%D1%8F%20%D0%A0%D0%91%20%E2%84%963%20%D0%B2%D1%96%D0%B4%2008.04.25.PDF</w:t>
        </w:r>
      </w:hyperlink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FB6">
        <w:rPr>
          <w:rFonts w:ascii="Times New Roman" w:hAnsi="Times New Roman" w:cs="Times New Roman"/>
          <w:sz w:val="28"/>
          <w:szCs w:val="28"/>
        </w:rPr>
        <w:t>05</w:t>
      </w:r>
      <w:proofErr w:type="gram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Луцьку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Ходу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рамках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здійснено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тяжіння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Луцька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привернуто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щоденних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бар’єрів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стикаються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люди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FD185A" w:rsidRPr="00604FB6" w:rsidRDefault="00FD185A" w:rsidP="00604F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FB6">
        <w:rPr>
          <w:rFonts w:ascii="Times New Roman" w:hAnsi="Times New Roman" w:cs="Times New Roman"/>
          <w:b/>
          <w:sz w:val="28"/>
          <w:szCs w:val="28"/>
        </w:rPr>
        <w:t xml:space="preserve">ІІІ </w:t>
      </w:r>
      <w:proofErr w:type="spellStart"/>
      <w:r w:rsidRPr="00604FB6">
        <w:rPr>
          <w:rFonts w:ascii="Times New Roman" w:hAnsi="Times New Roman" w:cs="Times New Roman"/>
          <w:b/>
          <w:sz w:val="28"/>
          <w:szCs w:val="28"/>
        </w:rPr>
        <w:t>квартал</w:t>
      </w:r>
      <w:proofErr w:type="spellEnd"/>
      <w:r w:rsidRPr="00604FB6">
        <w:rPr>
          <w:rFonts w:ascii="Times New Roman" w:hAnsi="Times New Roman" w:cs="Times New Roman"/>
          <w:b/>
          <w:sz w:val="28"/>
          <w:szCs w:val="28"/>
        </w:rPr>
        <w:t xml:space="preserve"> 2025 </w:t>
      </w:r>
      <w:proofErr w:type="spellStart"/>
      <w:r w:rsidRPr="00604FB6">
        <w:rPr>
          <w:rFonts w:ascii="Times New Roman" w:hAnsi="Times New Roman" w:cs="Times New Roman"/>
          <w:b/>
          <w:sz w:val="28"/>
          <w:szCs w:val="28"/>
        </w:rPr>
        <w:t>року</w:t>
      </w:r>
      <w:proofErr w:type="spellEnd"/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r w:rsidRPr="00604FB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третьому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кварталі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продовжено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практику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контролю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r w:rsidRPr="00604FB6">
        <w:rPr>
          <w:rFonts w:ascii="Times New Roman" w:hAnsi="Times New Roman" w:cs="Times New Roman"/>
          <w:sz w:val="28"/>
          <w:szCs w:val="28"/>
        </w:rPr>
        <w:t xml:space="preserve">04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обласній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державній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військовій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проведено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чергове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амбасадорів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час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обласному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місцевому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85A" w:rsidRPr="00604FB6" w:rsidRDefault="00FD185A" w:rsidP="00604F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FB6">
        <w:rPr>
          <w:rFonts w:ascii="Times New Roman" w:hAnsi="Times New Roman" w:cs="Times New Roman"/>
          <w:b/>
          <w:sz w:val="28"/>
          <w:szCs w:val="28"/>
        </w:rPr>
        <w:t xml:space="preserve">IV </w:t>
      </w:r>
      <w:proofErr w:type="spellStart"/>
      <w:r w:rsidRPr="00604FB6">
        <w:rPr>
          <w:rFonts w:ascii="Times New Roman" w:hAnsi="Times New Roman" w:cs="Times New Roman"/>
          <w:b/>
          <w:sz w:val="28"/>
          <w:szCs w:val="28"/>
        </w:rPr>
        <w:t>квартал</w:t>
      </w:r>
      <w:proofErr w:type="spellEnd"/>
      <w:r w:rsidRPr="00604FB6">
        <w:rPr>
          <w:rFonts w:ascii="Times New Roman" w:hAnsi="Times New Roman" w:cs="Times New Roman"/>
          <w:b/>
          <w:sz w:val="28"/>
          <w:szCs w:val="28"/>
        </w:rPr>
        <w:t xml:space="preserve"> 2025 </w:t>
      </w:r>
      <w:proofErr w:type="spellStart"/>
      <w:r w:rsidRPr="00604FB6">
        <w:rPr>
          <w:rFonts w:ascii="Times New Roman" w:hAnsi="Times New Roman" w:cs="Times New Roman"/>
          <w:b/>
          <w:sz w:val="28"/>
          <w:szCs w:val="28"/>
        </w:rPr>
        <w:t>року</w:t>
      </w:r>
      <w:proofErr w:type="spellEnd"/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r w:rsidRPr="00604FB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четвертому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кварталі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продовжено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системну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інститутами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604FB6" w:rsidRPr="00604FB6" w:rsidRDefault="00604FB6" w:rsidP="00604F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FB6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головуванням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заступника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Дениса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ДЕНИЩЕНКА 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відеоселекторному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lastRenderedPageBreak/>
        <w:t>відбулося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чергове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Волинській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обласні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державній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військовій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604FB6" w:rsidRPr="00604FB6" w:rsidRDefault="00604FB6" w:rsidP="00604FB6">
      <w:pPr>
        <w:jc w:val="both"/>
        <w:rPr>
          <w:rFonts w:ascii="Times New Roman" w:hAnsi="Times New Roman" w:cs="Times New Roman"/>
          <w:sz w:val="28"/>
          <w:szCs w:val="28"/>
        </w:rPr>
      </w:pPr>
      <w:r w:rsidRPr="00604FB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взяли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участь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члени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Волинській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обласні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державній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військовій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районних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Зруш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скелю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ЗЕ</w:t>
      </w:r>
      <w:proofErr w:type="gramStart"/>
      <w:r w:rsidRPr="00604FB6">
        <w:rPr>
          <w:rFonts w:ascii="Times New Roman" w:hAnsi="Times New Roman" w:cs="Times New Roman"/>
          <w:sz w:val="28"/>
          <w:szCs w:val="28"/>
        </w:rPr>
        <w:t>!Жінки</w:t>
      </w:r>
      <w:proofErr w:type="spellEnd"/>
      <w:proofErr w:type="gramEnd"/>
      <w:r w:rsidRPr="00604FB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Волині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604FB6" w:rsidRPr="00604FB6" w:rsidRDefault="00604FB6" w:rsidP="00604F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розглядалися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постанови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№ 1007 "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маршрутів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пунктах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".</w:t>
      </w:r>
    </w:p>
    <w:p w:rsidR="00604FB6" w:rsidRPr="00604FB6" w:rsidRDefault="00604FB6" w:rsidP="00604F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результатами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порядку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денного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протокольне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604FB6" w:rsidRPr="00604FB6" w:rsidRDefault="00604FB6" w:rsidP="00604FB6">
      <w:pPr>
        <w:jc w:val="both"/>
        <w:rPr>
          <w:rFonts w:ascii="Times New Roman" w:hAnsi="Times New Roman" w:cs="Times New Roman"/>
          <w:sz w:val="28"/>
          <w:szCs w:val="28"/>
        </w:rPr>
      </w:pPr>
      <w:r w:rsidRPr="00604FB6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детальнішою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покликанням: </w:t>
      </w:r>
      <w:hyperlink r:id="rId8" w:history="1">
        <w:r w:rsidRPr="00604FB6">
          <w:rPr>
            <w:rStyle w:val="a3"/>
            <w:rFonts w:ascii="Times New Roman" w:hAnsi="Times New Roman"/>
            <w:sz w:val="28"/>
            <w:szCs w:val="28"/>
          </w:rPr>
          <w:t>https://voladm.gov.ua/new/na-volini-shvalili-chotiri-proyekti-bezbaryernih-marshrutiv-u-gromadah/</w:t>
        </w:r>
      </w:hyperlink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Інститути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активісти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амбасадори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залучалися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Рад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надавали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бар’єрів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оточенні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транспорті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інформаційній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цифровій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r w:rsidRPr="00604FB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рамках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Рад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брали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участь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стану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громадському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контролі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регіональних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простору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результатами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проведених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у IV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кварталі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напрацьовано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обласному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місцевому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враховуються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органами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органами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подальшій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FB6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604FB6">
        <w:rPr>
          <w:rFonts w:ascii="Times New Roman" w:hAnsi="Times New Roman" w:cs="Times New Roman"/>
          <w:sz w:val="28"/>
          <w:szCs w:val="28"/>
        </w:rPr>
        <w:t>.</w:t>
      </w:r>
    </w:p>
    <w:p w:rsidR="00FD185A" w:rsidRPr="00604FB6" w:rsidRDefault="00FD185A" w:rsidP="00604F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185A" w:rsidRPr="00604FB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F6AFA"/>
    <w:multiLevelType w:val="multilevel"/>
    <w:tmpl w:val="A960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1F"/>
    <w:rsid w:val="00604FB6"/>
    <w:rsid w:val="00855EEB"/>
    <w:rsid w:val="0087535A"/>
    <w:rsid w:val="00C2111F"/>
    <w:rsid w:val="00F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EDA8"/>
  <w15:chartTrackingRefBased/>
  <w15:docId w15:val="{95BE4991-9817-49BF-8F75-FE751EB1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1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8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8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2111F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qFormat/>
    <w:rsid w:val="00C211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FD185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FD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FD185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D18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D18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No Spacing"/>
    <w:uiPriority w:val="1"/>
    <w:qFormat/>
    <w:rsid w:val="00604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1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0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6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2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7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3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adm.gov.ua/new/na-volini-shvalili-chotiri-proyekti-bezbaryernih-marshrutiv-u-gromada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oladm.gov.ua/admin-assets/files/file/%D0%90%D1%80%D1%85%D1%96%D1%82%D0%B5%D0%BA%D1%82%D1%83%D1%80%D0%B0/%2B%D0%9F%D1%80%D0%BE%D1%82%D0%BE%D0%BA%D0%BE%D0%BB.%20%D0%B7%D0%B0%D1%81%D1%96%D0%B4%D0%B0%D0%BD%D0%BD%D1%8F%20%D0%A0%D0%91%20%E2%84%963%20%D0%B2%D1%96%D0%B4%2008.04.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ladm.gov.ua/article/radi-bezbaryernosti-v-teritorialnih-gromadah-volinskoyi-oblasti/" TargetMode="External"/><Relationship Id="rId5" Type="http://schemas.openxmlformats.org/officeDocument/2006/relationships/hyperlink" Target="https://voladm.gov.ua/category/rada-bezbaryernosti-pri-volinskiy-oblasniy-derdavniy-viyskoviy-administraciyi/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2025-12-23T11:06:00Z</dcterms:created>
  <dcterms:modified xsi:type="dcterms:W3CDTF">2025-12-23T11:06:00Z</dcterms:modified>
</cp:coreProperties>
</file>