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B6F" w:rsidRPr="002B5B6F" w:rsidRDefault="002B5B6F">
      <w:pPr>
        <w:rPr>
          <w:rFonts w:ascii="Times New Roman" w:hAnsi="Times New Roman"/>
          <w:sz w:val="28"/>
        </w:rPr>
      </w:pPr>
      <w:r w:rsidRPr="002B5B6F">
        <w:rPr>
          <w:rFonts w:ascii="Times New Roman" w:hAnsi="Times New Roman"/>
          <w:sz w:val="28"/>
        </w:rPr>
        <w:t>Інформація щодо показни</w:t>
      </w:r>
      <w:r w:rsidRPr="002B5B6F">
        <w:rPr>
          <w:rFonts w:ascii="Times New Roman" w:hAnsi="Times New Roman"/>
          <w:sz w:val="28"/>
        </w:rPr>
        <w:t xml:space="preserve">ків результативності реалізації у 2025 році Національної стратегії із створення </w:t>
      </w:r>
      <w:proofErr w:type="spellStart"/>
      <w:r w:rsidRPr="002B5B6F">
        <w:rPr>
          <w:rFonts w:ascii="Times New Roman" w:hAnsi="Times New Roman"/>
          <w:sz w:val="28"/>
        </w:rPr>
        <w:t>безбар’єрного</w:t>
      </w:r>
      <w:proofErr w:type="spellEnd"/>
      <w:r w:rsidRPr="002B5B6F">
        <w:rPr>
          <w:rFonts w:ascii="Times New Roman" w:hAnsi="Times New Roman"/>
          <w:sz w:val="28"/>
        </w:rPr>
        <w:t xml:space="preserve"> простору в Україні на період до 2030 року</w:t>
      </w:r>
    </w:p>
    <w:tbl>
      <w:tblPr>
        <w:tblStyle w:val="a3"/>
        <w:tblW w:w="0" w:type="auto"/>
        <w:tblInd w:w="2094" w:type="dxa"/>
        <w:tblLook w:val="04A0" w:firstRow="1" w:lastRow="0" w:firstColumn="1" w:lastColumn="0" w:noHBand="0" w:noVBand="1"/>
      </w:tblPr>
      <w:tblGrid>
        <w:gridCol w:w="2193"/>
        <w:gridCol w:w="2193"/>
        <w:gridCol w:w="2193"/>
        <w:gridCol w:w="2193"/>
        <w:gridCol w:w="2194"/>
      </w:tblGrid>
      <w:tr w:rsidR="002B5B6F" w:rsidTr="002B5B6F">
        <w:tc>
          <w:tcPr>
            <w:tcW w:w="2193" w:type="dxa"/>
          </w:tcPr>
          <w:p w:rsidR="002B5B6F" w:rsidRPr="002B5B6F" w:rsidRDefault="002B5B6F">
            <w:pPr>
              <w:rPr>
                <w:rFonts w:ascii="Times New Roman" w:hAnsi="Times New Roman"/>
              </w:rPr>
            </w:pPr>
            <w:r w:rsidRPr="002B5B6F">
              <w:rPr>
                <w:rFonts w:ascii="Times New Roman" w:hAnsi="Times New Roman"/>
              </w:rPr>
              <w:t>Найменування показника</w:t>
            </w:r>
          </w:p>
        </w:tc>
        <w:tc>
          <w:tcPr>
            <w:tcW w:w="2193" w:type="dxa"/>
          </w:tcPr>
          <w:p w:rsidR="002B5B6F" w:rsidRPr="002B5B6F" w:rsidRDefault="002B5B6F">
            <w:pPr>
              <w:rPr>
                <w:rFonts w:ascii="Times New Roman" w:hAnsi="Times New Roman"/>
              </w:rPr>
            </w:pPr>
            <w:r w:rsidRPr="002B5B6F">
              <w:rPr>
                <w:rFonts w:ascii="Times New Roman" w:hAnsi="Times New Roman"/>
              </w:rPr>
              <w:t>Одиниця вимірюван</w:t>
            </w:r>
            <w:r w:rsidRPr="002B5B6F">
              <w:rPr>
                <w:rFonts w:ascii="Times New Roman" w:hAnsi="Times New Roman"/>
              </w:rPr>
              <w:t>ня</w:t>
            </w:r>
          </w:p>
        </w:tc>
        <w:tc>
          <w:tcPr>
            <w:tcW w:w="2193" w:type="dxa"/>
          </w:tcPr>
          <w:p w:rsidR="002B5B6F" w:rsidRPr="002B5B6F" w:rsidRDefault="002B5B6F">
            <w:pPr>
              <w:rPr>
                <w:rFonts w:ascii="Times New Roman" w:hAnsi="Times New Roman"/>
              </w:rPr>
            </w:pPr>
            <w:r w:rsidRPr="002B5B6F">
              <w:rPr>
                <w:rFonts w:ascii="Times New Roman" w:hAnsi="Times New Roman"/>
              </w:rPr>
              <w:t>Джерела даних</w:t>
            </w:r>
          </w:p>
        </w:tc>
        <w:tc>
          <w:tcPr>
            <w:tcW w:w="2193" w:type="dxa"/>
          </w:tcPr>
          <w:p w:rsidR="002B5B6F" w:rsidRPr="002B5B6F" w:rsidRDefault="002B5B6F">
            <w:pPr>
              <w:rPr>
                <w:rFonts w:ascii="Times New Roman" w:hAnsi="Times New Roman"/>
              </w:rPr>
            </w:pPr>
            <w:r w:rsidRPr="002B5B6F">
              <w:rPr>
                <w:rFonts w:ascii="Times New Roman" w:hAnsi="Times New Roman"/>
              </w:rPr>
              <w:t>Методологія розрахунку</w:t>
            </w:r>
          </w:p>
        </w:tc>
        <w:tc>
          <w:tcPr>
            <w:tcW w:w="2194" w:type="dxa"/>
          </w:tcPr>
          <w:p w:rsidR="002B5B6F" w:rsidRPr="002B5B6F" w:rsidRDefault="002B5B6F">
            <w:pPr>
              <w:rPr>
                <w:rFonts w:ascii="Times New Roman" w:hAnsi="Times New Roman"/>
              </w:rPr>
            </w:pPr>
            <w:r w:rsidRPr="002B5B6F">
              <w:rPr>
                <w:rFonts w:ascii="Times New Roman" w:hAnsi="Times New Roman"/>
              </w:rPr>
              <w:t>Значення показника 2025 рік</w:t>
            </w:r>
          </w:p>
        </w:tc>
      </w:tr>
      <w:tr w:rsidR="002B5B6F" w:rsidTr="002B5B6F">
        <w:tc>
          <w:tcPr>
            <w:tcW w:w="2193" w:type="dxa"/>
          </w:tcPr>
          <w:p w:rsidR="002B5B6F" w:rsidRPr="002B5B6F" w:rsidRDefault="002B5B6F">
            <w:pPr>
              <w:rPr>
                <w:rFonts w:ascii="Times New Roman" w:hAnsi="Times New Roman"/>
              </w:rPr>
            </w:pPr>
            <w:r w:rsidRPr="002B5B6F">
              <w:rPr>
                <w:rFonts w:ascii="Times New Roman" w:hAnsi="Times New Roman"/>
              </w:rPr>
              <w:t xml:space="preserve">62. Кількість осіб з числа молоді, які залучені до роботи молодіжних центрів / просторів з метою впровадження практик та механізмів соціальної та громадської участі, зокрема, щодо забезпечення </w:t>
            </w:r>
            <w:proofErr w:type="spellStart"/>
            <w:r w:rsidRPr="002B5B6F">
              <w:rPr>
                <w:rFonts w:ascii="Times New Roman" w:hAnsi="Times New Roman"/>
              </w:rPr>
              <w:t>безбар’єрності</w:t>
            </w:r>
            <w:proofErr w:type="spellEnd"/>
          </w:p>
        </w:tc>
        <w:tc>
          <w:tcPr>
            <w:tcW w:w="2193" w:type="dxa"/>
          </w:tcPr>
          <w:p w:rsidR="002B5B6F" w:rsidRPr="002B5B6F" w:rsidRDefault="002B5B6F">
            <w:pPr>
              <w:rPr>
                <w:rFonts w:ascii="Times New Roman" w:hAnsi="Times New Roman"/>
              </w:rPr>
            </w:pPr>
            <w:r w:rsidRPr="002B5B6F">
              <w:rPr>
                <w:rFonts w:ascii="Times New Roman" w:hAnsi="Times New Roman"/>
              </w:rPr>
              <w:t>осіб</w:t>
            </w:r>
          </w:p>
        </w:tc>
        <w:tc>
          <w:tcPr>
            <w:tcW w:w="2193" w:type="dxa"/>
          </w:tcPr>
          <w:p w:rsidR="002B5B6F" w:rsidRPr="002B5B6F" w:rsidRDefault="002B5B6F">
            <w:pPr>
              <w:rPr>
                <w:rFonts w:ascii="Times New Roman" w:hAnsi="Times New Roman"/>
              </w:rPr>
            </w:pPr>
            <w:r w:rsidRPr="002B5B6F">
              <w:rPr>
                <w:rFonts w:ascii="Times New Roman" w:hAnsi="Times New Roman"/>
              </w:rPr>
              <w:t>моніторинг</w:t>
            </w:r>
          </w:p>
        </w:tc>
        <w:tc>
          <w:tcPr>
            <w:tcW w:w="2193" w:type="dxa"/>
          </w:tcPr>
          <w:p w:rsidR="002B5B6F" w:rsidRPr="002B5B6F" w:rsidRDefault="002B5B6F">
            <w:pPr>
              <w:rPr>
                <w:rFonts w:ascii="Times New Roman" w:hAnsi="Times New Roman"/>
              </w:rPr>
            </w:pPr>
            <w:r w:rsidRPr="002B5B6F">
              <w:rPr>
                <w:rFonts w:ascii="Times New Roman" w:hAnsi="Times New Roman"/>
              </w:rPr>
              <w:t>подається цифра, що відображає кількість молоді, яка відвідала молодіжний центр. Показник вимірюється і подається щорічно</w:t>
            </w:r>
          </w:p>
        </w:tc>
        <w:tc>
          <w:tcPr>
            <w:tcW w:w="2194" w:type="dxa"/>
          </w:tcPr>
          <w:p w:rsidR="002B5B6F" w:rsidRPr="002B5B6F" w:rsidRDefault="002B5B6F">
            <w:pPr>
              <w:rPr>
                <w:rFonts w:ascii="Times New Roman" w:hAnsi="Times New Roman"/>
              </w:rPr>
            </w:pPr>
            <w:r w:rsidRPr="002B5B6F">
              <w:rPr>
                <w:rFonts w:ascii="Times New Roman" w:hAnsi="Times New Roman"/>
              </w:rPr>
              <w:t>1272 особи</w:t>
            </w:r>
          </w:p>
        </w:tc>
      </w:tr>
    </w:tbl>
    <w:p w:rsidR="00E3761B" w:rsidRDefault="00E3761B"/>
    <w:p w:rsidR="002B5B6F" w:rsidRPr="002B5B6F" w:rsidRDefault="002B5B6F" w:rsidP="002B5B6F">
      <w:pPr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У </w:t>
      </w:r>
      <w:r w:rsidRPr="002B5B6F">
        <w:rPr>
          <w:rFonts w:ascii="Times New Roman" w:hAnsi="Times New Roman"/>
          <w:sz w:val="24"/>
          <w:szCs w:val="24"/>
          <w:lang w:eastAsia="uk-UA"/>
        </w:rPr>
        <w:t>Луцькому замку відбулася зустріч активної молоді Волині (представники молодіжних рад області, молодіжних центрів і молодіжних громадських організацій) з керівництвом області, де молодь мала можливість долучитися до обговорення теми відзначення 600-річчя З’їзду європейських монархів у Луцьку, зокрема вр</w:t>
      </w:r>
      <w:r>
        <w:rPr>
          <w:rFonts w:ascii="Times New Roman" w:hAnsi="Times New Roman"/>
          <w:sz w:val="24"/>
          <w:szCs w:val="24"/>
          <w:lang w:eastAsia="uk-UA"/>
        </w:rPr>
        <w:t xml:space="preserve">ахувавши аспект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безбар'єрності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. </w:t>
      </w:r>
      <w:r w:rsidRPr="002B5B6F">
        <w:rPr>
          <w:rFonts w:ascii="Times New Roman" w:hAnsi="Times New Roman"/>
          <w:sz w:val="24"/>
          <w:szCs w:val="24"/>
          <w:lang w:eastAsia="uk-UA"/>
        </w:rPr>
        <w:t xml:space="preserve">Протягом серпня-вересня 2025 року велася робота над розробкою нових обласних цільових програм (Обласна цільова програма з утвердження української національної та громадянської ідентичності на 2026-2028 роки та Обласна цільова соціальна програма "Молодь Волині: покоління стійкості-2030" на 2026-2030 роки), до завдань і заходів реалізації яких були враховані пропозиції молоді Волинської області, зібрані шляхом онлайн-анкетування, у тому числі на тему </w:t>
      </w:r>
      <w:proofErr w:type="spellStart"/>
      <w:r w:rsidRPr="002B5B6F">
        <w:rPr>
          <w:rFonts w:ascii="Times New Roman" w:hAnsi="Times New Roman"/>
          <w:sz w:val="24"/>
          <w:szCs w:val="24"/>
          <w:lang w:eastAsia="uk-UA"/>
        </w:rPr>
        <w:t>безбар'єрності</w:t>
      </w:r>
      <w:proofErr w:type="spellEnd"/>
      <w:r w:rsidRPr="002B5B6F">
        <w:rPr>
          <w:rFonts w:ascii="Times New Roman" w:hAnsi="Times New Roman"/>
          <w:sz w:val="24"/>
          <w:szCs w:val="24"/>
          <w:lang w:eastAsia="uk-UA"/>
        </w:rPr>
        <w:t>.</w:t>
      </w:r>
      <w:bookmarkStart w:id="0" w:name="_GoBack"/>
      <w:bookmarkEnd w:id="0"/>
    </w:p>
    <w:sectPr w:rsidR="002B5B6F" w:rsidRPr="002B5B6F" w:rsidSect="002B5B6F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6D332A"/>
    <w:multiLevelType w:val="multilevel"/>
    <w:tmpl w:val="1F0C6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B6F"/>
    <w:rsid w:val="00181A1C"/>
    <w:rsid w:val="002B5B6F"/>
    <w:rsid w:val="00A91E21"/>
    <w:rsid w:val="00C44B24"/>
    <w:rsid w:val="00D43264"/>
    <w:rsid w:val="00E3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B2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B2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912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</dc:creator>
  <cp:lastModifiedBy>Rada</cp:lastModifiedBy>
  <cp:revision>1</cp:revision>
  <dcterms:created xsi:type="dcterms:W3CDTF">2026-01-29T07:10:00Z</dcterms:created>
  <dcterms:modified xsi:type="dcterms:W3CDTF">2026-01-29T07:20:00Z</dcterms:modified>
</cp:coreProperties>
</file>