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977"/>
        <w:gridCol w:w="1418"/>
        <w:gridCol w:w="5671"/>
        <w:gridCol w:w="1417"/>
        <w:gridCol w:w="1419"/>
        <w:gridCol w:w="2551"/>
      </w:tblGrid>
      <w:tr w:rsidR="0017732B" w:rsidRPr="00553C37" w:rsidTr="00234DBE">
        <w:tc>
          <w:tcPr>
            <w:tcW w:w="816" w:type="dxa"/>
            <w:vAlign w:val="center"/>
          </w:tcPr>
          <w:p w:rsidR="0017732B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0912">
              <w:rPr>
                <w:lang w:val="uk-UA"/>
              </w:rPr>
              <w:br w:type="page"/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№ </w:t>
            </w:r>
          </w:p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7" w:type="dxa"/>
          </w:tcPr>
          <w:p w:rsidR="0017732B" w:rsidRDefault="0017732B" w:rsidP="005122CC">
            <w:pPr>
              <w:pStyle w:val="1"/>
              <w:rPr>
                <w:bCs/>
                <w:sz w:val="24"/>
              </w:rPr>
            </w:pPr>
          </w:p>
          <w:p w:rsidR="0017732B" w:rsidRDefault="0017732B" w:rsidP="005122CC">
            <w:pPr>
              <w:pStyle w:val="1"/>
              <w:rPr>
                <w:bCs/>
                <w:sz w:val="24"/>
              </w:rPr>
            </w:pPr>
          </w:p>
          <w:p w:rsidR="0017732B" w:rsidRDefault="0017732B" w:rsidP="005122CC">
            <w:pPr>
              <w:pStyle w:val="1"/>
              <w:rPr>
                <w:bCs/>
                <w:sz w:val="24"/>
              </w:rPr>
            </w:pPr>
          </w:p>
          <w:p w:rsidR="0017732B" w:rsidRDefault="0017732B" w:rsidP="005122CC">
            <w:pPr>
              <w:pStyle w:val="1"/>
              <w:rPr>
                <w:bCs/>
                <w:sz w:val="24"/>
              </w:rPr>
            </w:pPr>
            <w:r w:rsidRPr="00553C37">
              <w:rPr>
                <w:bCs/>
                <w:sz w:val="24"/>
              </w:rPr>
              <w:t>Зміст заходу</w:t>
            </w:r>
          </w:p>
          <w:p w:rsidR="0017732B" w:rsidRPr="001C22C9" w:rsidRDefault="0017732B" w:rsidP="005122CC">
            <w:pPr>
              <w:spacing w:after="0" w:line="240" w:lineRule="auto"/>
              <w:rPr>
                <w:lang w:val="uk-UA"/>
              </w:rPr>
            </w:pPr>
          </w:p>
          <w:p w:rsidR="0017732B" w:rsidRPr="001C22C9" w:rsidRDefault="0017732B" w:rsidP="005122C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7732B" w:rsidRPr="00553C37" w:rsidRDefault="0017732B" w:rsidP="005122CC">
            <w:pPr>
              <w:pStyle w:val="1"/>
              <w:rPr>
                <w:bCs/>
                <w:sz w:val="24"/>
              </w:rPr>
            </w:pPr>
            <w:r>
              <w:rPr>
                <w:bCs/>
                <w:sz w:val="24"/>
              </w:rPr>
              <w:t>Термін виконання</w:t>
            </w:r>
          </w:p>
        </w:tc>
        <w:tc>
          <w:tcPr>
            <w:tcW w:w="5671" w:type="dxa"/>
            <w:vAlign w:val="center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виконання</w:t>
            </w:r>
          </w:p>
        </w:tc>
        <w:tc>
          <w:tcPr>
            <w:tcW w:w="1417" w:type="dxa"/>
            <w:vAlign w:val="center"/>
          </w:tcPr>
          <w:p w:rsidR="0017732B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F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Сума витрачених у звітному періоді коштів,</w:t>
            </w:r>
          </w:p>
          <w:p w:rsidR="0017732B" w:rsidRPr="001C22C9" w:rsidRDefault="0017732B" w:rsidP="005122CC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 w:rsidRPr="00DF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тис. 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ивень</w:t>
            </w:r>
          </w:p>
        </w:tc>
        <w:tc>
          <w:tcPr>
            <w:tcW w:w="1419" w:type="dxa"/>
            <w:vAlign w:val="center"/>
          </w:tcPr>
          <w:p w:rsidR="0017732B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>фінансу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2551" w:type="dxa"/>
            <w:vAlign w:val="center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Виконавці</w:t>
            </w:r>
          </w:p>
        </w:tc>
      </w:tr>
      <w:tr w:rsidR="0017732B" w:rsidRPr="001C22C9" w:rsidTr="00234DBE">
        <w:tc>
          <w:tcPr>
            <w:tcW w:w="816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1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7732B" w:rsidRPr="001C22C9" w:rsidTr="00BD0073">
        <w:tc>
          <w:tcPr>
            <w:tcW w:w="16269" w:type="dxa"/>
            <w:gridSpan w:val="7"/>
          </w:tcPr>
          <w:p w:rsidR="0017732B" w:rsidRPr="00CA61DE" w:rsidRDefault="0017732B" w:rsidP="005122C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61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Здійснення ресурсного та інформаційного забезпечення,  сприяння виставково-ярмарковій діяльності суб'єктів малого </w:t>
            </w:r>
            <w:r w:rsidR="008159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середнього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підприємництва</w:t>
            </w:r>
          </w:p>
        </w:tc>
      </w:tr>
      <w:tr w:rsidR="0017732B" w:rsidRPr="005122CC" w:rsidTr="00234DBE">
        <w:tc>
          <w:tcPr>
            <w:tcW w:w="816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297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Поновлювати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щопівроку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фонди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(бази даних) 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нежитлових приміщень,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можуть передаватися в оренду або продаватися суб’єктам підприємництва для здійснення ними підприємницької діяльності</w:t>
            </w:r>
          </w:p>
        </w:tc>
        <w:tc>
          <w:tcPr>
            <w:tcW w:w="1418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Щопівроку</w:t>
            </w:r>
            <w:proofErr w:type="spellEnd"/>
          </w:p>
          <w:p w:rsidR="0017732B" w:rsidRPr="00553C37" w:rsidRDefault="008159E0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2020</w:t>
            </w:r>
            <w:r w:rsidR="0017732B"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1" w:type="dxa"/>
          </w:tcPr>
          <w:p w:rsidR="0017732B" w:rsidRDefault="0017732B" w:rsidP="005122CC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334E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Проводиться постійний моніторинг та оновлення, відповідно до встановлених термінів, переліків об’єктів нерухомого державного майна, що пропонується для надання в оренду або для приватизації, переліку об’єктів незавер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шеного будівництва</w:t>
            </w:r>
            <w:r w:rsidRPr="00334E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що можуть реалізовуватися для потреб суб’єктів підприємництва.</w:t>
            </w:r>
          </w:p>
          <w:p w:rsidR="0017732B" w:rsidRPr="00553C37" w:rsidRDefault="0017732B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E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Вищезгадані переліки розміщуються на сайтах Фонду державного майна України (Розділ «Оренда»)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34E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17732B" w:rsidRPr="00553C37" w:rsidRDefault="008159E0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7732B"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айдержадміністрації, виконкоми міських (міст обласного значення) рад, відділ з питань спільної власності, територіальних громад сіл, селищ, міст області виконавчого апарату обласної ради</w:t>
            </w:r>
          </w:p>
        </w:tc>
      </w:tr>
      <w:tr w:rsidR="0017732B" w:rsidRPr="00553C37" w:rsidTr="00234DBE">
        <w:tc>
          <w:tcPr>
            <w:tcW w:w="816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</w:t>
            </w:r>
          </w:p>
        </w:tc>
        <w:tc>
          <w:tcPr>
            <w:tcW w:w="2977" w:type="dxa"/>
          </w:tcPr>
          <w:p w:rsidR="0017732B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Забезпечити, відповідно до законодавства, надання в 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оренду на пільгових умовах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нежитлових приміщень, виробничих потужностей, обладнання для потреб суб’єктів підприємництва, що здійснюють діяльність у галузі виробництва та сфери послуг</w:t>
            </w:r>
          </w:p>
          <w:p w:rsidR="007E6E1A" w:rsidRPr="00553C37" w:rsidRDefault="007E6E1A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5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1" w:type="dxa"/>
          </w:tcPr>
          <w:p w:rsidR="008159E0" w:rsidRDefault="00574A07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 метою виявлення бажання у</w:t>
            </w:r>
            <w:r w:rsidR="00B00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сі </w:t>
            </w:r>
            <w:r w:rsidR="008159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</w:t>
            </w:r>
            <w:r w:rsidR="008159E0" w:rsidRPr="00E05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уб’єкт</w:t>
            </w:r>
            <w:r w:rsidR="00B00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и</w:t>
            </w:r>
            <w:r w:rsidR="008159E0" w:rsidRPr="00E05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підприємництва </w:t>
            </w:r>
            <w:r w:rsidR="00B00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можуть скористатися умовами</w:t>
            </w:r>
            <w:r w:rsidR="008159E0" w:rsidRPr="00E05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надання в оренду на пільгових умовах нежитлових приміщень, виробничих потужностей для здійснення діяльності у галузі виробництва та сфери послуг.</w:t>
            </w:r>
          </w:p>
          <w:p w:rsidR="008159E0" w:rsidRPr="00E0598C" w:rsidRDefault="008159E0" w:rsidP="0051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7732B" w:rsidRPr="00553C37" w:rsidRDefault="0017732B" w:rsidP="005122CC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419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17732B" w:rsidRPr="00553C37" w:rsidRDefault="008159E0" w:rsidP="005122C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</w:rPr>
              <w:t>Р</w:t>
            </w:r>
            <w:r w:rsidR="0017732B" w:rsidRPr="00553C37">
              <w:rPr>
                <w:b w:val="0"/>
              </w:rPr>
              <w:t>айдержадміністрації, виконкоми міських (міст обласного значення) рад, органи місцевого самоврядування</w:t>
            </w:r>
          </w:p>
          <w:p w:rsidR="0017732B" w:rsidRPr="00553C37" w:rsidRDefault="0017732B" w:rsidP="005122CC">
            <w:pPr>
              <w:pStyle w:val="2"/>
              <w:rPr>
                <w:b w:val="0"/>
                <w:bCs w:val="0"/>
              </w:rPr>
            </w:pPr>
          </w:p>
        </w:tc>
      </w:tr>
      <w:tr w:rsidR="0017732B" w:rsidRPr="00553C37" w:rsidTr="00234DBE">
        <w:tc>
          <w:tcPr>
            <w:tcW w:w="816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3.1.2.</w:t>
            </w:r>
          </w:p>
        </w:tc>
        <w:tc>
          <w:tcPr>
            <w:tcW w:w="297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поновлювати та оприлюднювати  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реєстри земель несільськогосподарського призначення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продажу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Times New Roman" w:char="2019"/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єктам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підприємницької діяльності районів і міст області</w:t>
            </w:r>
          </w:p>
        </w:tc>
        <w:tc>
          <w:tcPr>
            <w:tcW w:w="1418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C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671" w:type="dxa"/>
          </w:tcPr>
          <w:p w:rsidR="005C2CD2" w:rsidRPr="005C2CD2" w:rsidRDefault="005C2CD2" w:rsidP="005122C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Станом на 01.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.201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року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продано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несільськогосподарського призначення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4679 га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690,494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аукціонах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органами місцевого самоврядування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продано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,7863 га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16137,469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тис.гривень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цього,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аукціонах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продано прав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несільськогосподарського та   </w:t>
            </w:r>
            <w:r w:rsidRPr="005C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сільськогосподарського призначення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комунальної власності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254,6334 </w:t>
            </w: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ічною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орендною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платою</w:t>
            </w:r>
            <w:r w:rsidRPr="005C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C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3527,945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C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право оренди на 87 земельні ділянки сільськогосподарського призначення державної власності загальною площею 1935,8297 га з річним розміром орендної плати 2791,135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тис.гривень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17732B" w:rsidRPr="005C2CD2" w:rsidRDefault="005C2CD2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Фактично до бюджетів усіх рівнів від продажу земельних  ділянок та сплати розстрочки за раніше викуплені земельні ділянки з початку 2018 року надійшли кошти в сумі 42263,08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до державного бюджету – 226,79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.; до місцевих бюджетів – 42036,29 </w:t>
            </w:r>
            <w:proofErr w:type="spellStart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тис.гривень</w:t>
            </w:r>
            <w:proofErr w:type="spellEnd"/>
            <w:r w:rsidRPr="005C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C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Райдержадміністрації, виконкоми міських (міст обласного значення) рад,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головне управління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Держземагенства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області</w:t>
            </w:r>
            <w:r w:rsidRPr="00553C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згодою)</w:t>
            </w:r>
          </w:p>
        </w:tc>
      </w:tr>
      <w:tr w:rsidR="0017732B" w:rsidRPr="00553C37" w:rsidTr="00061076">
        <w:trPr>
          <w:trHeight w:val="983"/>
        </w:trPr>
        <w:tc>
          <w:tcPr>
            <w:tcW w:w="816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</w:t>
            </w:r>
          </w:p>
        </w:tc>
        <w:tc>
          <w:tcPr>
            <w:tcW w:w="297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Сформувати та поновлювати й оприлюднювати 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переліки  об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sym w:font="Times New Roman" w:char="2019"/>
            </w:r>
            <w:proofErr w:type="spellStart"/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єктів</w:t>
            </w:r>
            <w:proofErr w:type="spellEnd"/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незавершеного будівництва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можуть реалізовуватися для потреб </w:t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Times New Roman" w:char="2019"/>
            </w:r>
            <w:proofErr w:type="spellStart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підприємництва  </w:t>
            </w:r>
          </w:p>
        </w:tc>
        <w:tc>
          <w:tcPr>
            <w:tcW w:w="1418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 w:rsidR="0093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671" w:type="dxa"/>
          </w:tcPr>
          <w:p w:rsidR="00A72052" w:rsidRDefault="0017732B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72052" w:rsidRPr="00F06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A720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720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="00A720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Володимир-Волинської райдержадміністрації</w:t>
            </w:r>
            <w:r w:rsidR="00A72052" w:rsidRPr="00F06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A720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розділі «Інвестиційний довідник»</w:t>
            </w:r>
            <w:r w:rsidR="00A72052" w:rsidRPr="00F06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="00A72052" w:rsidRPr="00F06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“</w:t>
            </w:r>
            <w:r w:rsidR="00A720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2052" w:rsidRPr="00F06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ереліки</w:t>
            </w:r>
            <w:proofErr w:type="spellEnd"/>
            <w:r w:rsidR="00A72052" w:rsidRPr="00F06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об’єктів незавершеного будівництва ”  розміщена поновлена інформація  про </w:t>
            </w:r>
            <w:r w:rsidR="00A720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наявні об’єкти </w:t>
            </w:r>
            <w:r w:rsidR="00A72052" w:rsidRPr="00F06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незавершеного будівництва</w:t>
            </w:r>
          </w:p>
          <w:p w:rsidR="0017732B" w:rsidRPr="00553C37" w:rsidRDefault="0017732B" w:rsidP="0051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Райдержадміністрації, виконкоми міськи</w:t>
            </w:r>
            <w:r w:rsidR="000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(міст обласного значення) рад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7732B" w:rsidRPr="00553C37" w:rsidTr="00234DBE">
        <w:tc>
          <w:tcPr>
            <w:tcW w:w="816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</w:t>
            </w:r>
          </w:p>
        </w:tc>
        <w:tc>
          <w:tcPr>
            <w:tcW w:w="297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проведення конкурсів  (тендерів) з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 державних замовлень на придбання продукції, робіт,  послуг за кошти місцевих бюджетів із залученням до виконання замовлень підприємств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 і середнього бізнесу</w:t>
            </w:r>
          </w:p>
        </w:tc>
        <w:tc>
          <w:tcPr>
            <w:tcW w:w="1418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 w:rsidR="0009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 w:rsidR="000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671" w:type="dxa"/>
          </w:tcPr>
          <w:p w:rsidR="0017732B" w:rsidRPr="00FF2118" w:rsidRDefault="0017732B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201</w:t>
            </w:r>
            <w:r w:rsidR="00FF2118"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року розпорядниками коштів місцевих бюджетів проведено 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25149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процедур 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закупівель товарів, робіт і послуг за державні кошти (проти 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22036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процедур у  201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році), за результатами яких укладено 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24270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договорів на загальну суму   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10,400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мл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рд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гривень (проти  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21100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дог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оворів на суму  7,510 млрд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гривень у  201</w:t>
            </w:r>
            <w:r w:rsidR="005122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FF21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році).</w:t>
            </w:r>
          </w:p>
        </w:tc>
        <w:tc>
          <w:tcPr>
            <w:tcW w:w="1417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Райдержадміністрації, виконкоми міських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(міст обласного значення) рад</w:t>
            </w:r>
          </w:p>
        </w:tc>
      </w:tr>
      <w:tr w:rsidR="0017732B" w:rsidRPr="005122CC" w:rsidTr="00234DBE">
        <w:trPr>
          <w:trHeight w:val="1101"/>
        </w:trPr>
        <w:tc>
          <w:tcPr>
            <w:tcW w:w="816" w:type="dxa"/>
          </w:tcPr>
          <w:p w:rsidR="0017732B" w:rsidRPr="00553C37" w:rsidRDefault="0017732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</w:t>
            </w:r>
            <w:r w:rsidR="00092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092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17732B" w:rsidRPr="00553C37" w:rsidRDefault="0017732B" w:rsidP="005122CC">
            <w:pPr>
              <w:pStyle w:val="3"/>
              <w:jc w:val="left"/>
              <w:rPr>
                <w:b w:val="0"/>
                <w:bCs w:val="0"/>
              </w:rPr>
            </w:pPr>
            <w:r w:rsidRPr="00553C37">
              <w:rPr>
                <w:b w:val="0"/>
                <w:bCs w:val="0"/>
              </w:rPr>
              <w:t>Залучати малі, середні сільськогосподарські підприємства та фермерів до участі у виставках-продажах, ярмарках сільськогосподарської продукції</w:t>
            </w:r>
          </w:p>
        </w:tc>
        <w:tc>
          <w:tcPr>
            <w:tcW w:w="1418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 w:rsidR="000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D5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  <w:p w:rsidR="0017732B" w:rsidRPr="00553C37" w:rsidRDefault="0017732B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281CC6" w:rsidRDefault="0017732B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1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області проводиться постійна робота щодо залучення товаровиробників (власників особистих селянських господарств, фермерських господарств, переробних підприємств) до торгівлі власною продукцією за ціною виробника у вихідні і передсвяткові дні ярмарків з продажу сільськогосподарської продукції у містах, районних центрах, селищах і селах.</w:t>
            </w:r>
            <w:r w:rsidRPr="000925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7732B" w:rsidRPr="00092520" w:rsidRDefault="00281CC6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Щосуботи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у м.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Луцьку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Єршова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ТК „Глобус”) проходить ярмарок «</w:t>
            </w:r>
            <w:proofErr w:type="spellStart"/>
            <w:proofErr w:type="gram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Село-м</w:t>
            </w:r>
            <w:proofErr w:type="gram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істу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». Свою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продукцію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представляють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фермерських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особистих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селянських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господарств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районів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провідні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харчової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переробної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. За 2018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50 таких </w:t>
            </w:r>
            <w:proofErr w:type="spellStart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ярмарків</w:t>
            </w:r>
            <w:proofErr w:type="spellEnd"/>
            <w:r w:rsidRPr="0028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732B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32B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32B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32B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32B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17732B" w:rsidRPr="00553C37" w:rsidRDefault="0017732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Департаменти агропромислового розвитку, </w:t>
            </w:r>
            <w:r w:rsidR="000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економіки  та європейської інтеграції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облдержадміністрації, асоціація фермерів та приватних землевласників області (за згодою)</w:t>
            </w:r>
          </w:p>
        </w:tc>
      </w:tr>
      <w:tr w:rsidR="00234DBE" w:rsidRPr="005122CC" w:rsidTr="00234DBE">
        <w:trPr>
          <w:trHeight w:val="1101"/>
        </w:trPr>
        <w:tc>
          <w:tcPr>
            <w:tcW w:w="816" w:type="dxa"/>
          </w:tcPr>
          <w:p w:rsidR="00234DBE" w:rsidRPr="00553C37" w:rsidRDefault="00234DBE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3.1.6.</w:t>
            </w:r>
          </w:p>
        </w:tc>
        <w:tc>
          <w:tcPr>
            <w:tcW w:w="2977" w:type="dxa"/>
          </w:tcPr>
          <w:p w:rsidR="00234DBE" w:rsidRPr="00553C37" w:rsidRDefault="00234DBE" w:rsidP="005122CC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Підготувати електронний каталог вільних земельних ділянок</w:t>
            </w:r>
          </w:p>
        </w:tc>
        <w:tc>
          <w:tcPr>
            <w:tcW w:w="1418" w:type="dxa"/>
          </w:tcPr>
          <w:p w:rsidR="00234DBE" w:rsidRPr="00553C37" w:rsidRDefault="00234DBE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  <w:p w:rsidR="00234DBE" w:rsidRPr="00553C37" w:rsidRDefault="00234DBE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37384B" w:rsidRPr="0037384B" w:rsidRDefault="0037384B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3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Оновлена і</w:t>
            </w:r>
            <w:r w:rsidR="005343A7" w:rsidRPr="00373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вільні земельні ділянки</w:t>
            </w:r>
            <w:r w:rsidRPr="00373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 та </w:t>
            </w:r>
            <w:r w:rsidR="005343A7" w:rsidRPr="00373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7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готується для розміщення на </w:t>
            </w:r>
            <w:proofErr w:type="spellStart"/>
            <w:r w:rsidRPr="00C7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C7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 державної адміністрації. </w:t>
            </w:r>
          </w:p>
        </w:tc>
        <w:tc>
          <w:tcPr>
            <w:tcW w:w="1417" w:type="dxa"/>
          </w:tcPr>
          <w:p w:rsidR="00234DBE" w:rsidRDefault="00234DBE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234DBE" w:rsidRPr="00553C37" w:rsidRDefault="00234DBE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234DBE" w:rsidRPr="00D83909" w:rsidRDefault="00234DBE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D83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оловне управління </w:t>
            </w:r>
            <w:proofErr w:type="spellStart"/>
            <w:r w:rsidRPr="00D83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D83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області, департамент економіки та європейської інтеграції облдержадміністрації,  райдержадміністрації, виконкоми міських (міст обласного </w:t>
            </w:r>
            <w:r w:rsidRPr="00D83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значення) рад</w:t>
            </w:r>
          </w:p>
        </w:tc>
      </w:tr>
      <w:tr w:rsidR="00120664" w:rsidRPr="005122CC" w:rsidTr="00234DBE">
        <w:trPr>
          <w:trHeight w:val="1101"/>
        </w:trPr>
        <w:tc>
          <w:tcPr>
            <w:tcW w:w="816" w:type="dxa"/>
          </w:tcPr>
          <w:p w:rsidR="00120664" w:rsidRDefault="00120664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553C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120664" w:rsidRPr="00120664" w:rsidRDefault="00120664" w:rsidP="005122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1206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озробити та видати довідники, бюлетені, каталоги, брошури, посібники, навчально-методичну літературу та інші друковані матеріали з питань підприємництва</w:t>
            </w:r>
          </w:p>
        </w:tc>
        <w:tc>
          <w:tcPr>
            <w:tcW w:w="1418" w:type="dxa"/>
          </w:tcPr>
          <w:p w:rsidR="00120664" w:rsidRPr="00553C37" w:rsidRDefault="00120664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  <w:p w:rsidR="00120664" w:rsidRPr="00553C37" w:rsidRDefault="00120664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120664" w:rsidRDefault="006841A5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 та видано буклет «Бізнес Волині», який містить основні показники, що характеризують стан та тенденції розвитку підприємств юридичних осіб порівняно з попередніми роками.</w:t>
            </w:r>
          </w:p>
        </w:tc>
        <w:tc>
          <w:tcPr>
            <w:tcW w:w="1417" w:type="dxa"/>
          </w:tcPr>
          <w:p w:rsidR="00120664" w:rsidRDefault="00120664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2018-8,0</w:t>
            </w:r>
          </w:p>
          <w:p w:rsidR="00120664" w:rsidRDefault="00120664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2019-8,0</w:t>
            </w:r>
          </w:p>
          <w:p w:rsidR="00120664" w:rsidRDefault="00120664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2020-9,0</w:t>
            </w:r>
          </w:p>
        </w:tc>
        <w:tc>
          <w:tcPr>
            <w:tcW w:w="1419" w:type="dxa"/>
          </w:tcPr>
          <w:p w:rsidR="00120664" w:rsidRPr="00120664" w:rsidRDefault="00120664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обласного та місцевих бюджетів</w:t>
            </w:r>
          </w:p>
        </w:tc>
        <w:tc>
          <w:tcPr>
            <w:tcW w:w="2551" w:type="dxa"/>
          </w:tcPr>
          <w:p w:rsidR="00120664" w:rsidRPr="00120664" w:rsidRDefault="00B0713F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120664"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оловне управління статистики в області, департамент економіки та європейської інтеграції облдержадміністрації, райдержадміністрації, виконкоми міських (міст обласного значення) рад, обласний фонд підтримки підприємництва</w:t>
            </w:r>
          </w:p>
        </w:tc>
      </w:tr>
      <w:tr w:rsidR="00120664" w:rsidRPr="005122CC" w:rsidTr="00234DBE">
        <w:trPr>
          <w:trHeight w:val="1101"/>
        </w:trPr>
        <w:tc>
          <w:tcPr>
            <w:tcW w:w="816" w:type="dxa"/>
          </w:tcPr>
          <w:p w:rsidR="00120664" w:rsidRPr="00120664" w:rsidRDefault="00120664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3.2.1.</w:t>
            </w:r>
          </w:p>
        </w:tc>
        <w:tc>
          <w:tcPr>
            <w:tcW w:w="2977" w:type="dxa"/>
          </w:tcPr>
          <w:p w:rsidR="00120664" w:rsidRPr="00120664" w:rsidRDefault="006F5C8B" w:rsidP="005122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120664" w:rsidRPr="001206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прияти у практичному навчанні підприємству, перепідготовці молоді та підвищенню кваліфікації підприємців у закладах освіти області</w:t>
            </w:r>
          </w:p>
        </w:tc>
        <w:tc>
          <w:tcPr>
            <w:tcW w:w="1418" w:type="dxa"/>
          </w:tcPr>
          <w:p w:rsidR="00120664" w:rsidRPr="00120664" w:rsidRDefault="00120664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 роки</w:t>
            </w:r>
          </w:p>
          <w:p w:rsidR="00120664" w:rsidRPr="00120664" w:rsidRDefault="00120664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120664" w:rsidRPr="00DD6057" w:rsidRDefault="00DD6057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 активно сприяють у практичному навчанні підприємству. У Луцькому НТУ</w:t>
            </w:r>
            <w:r w:rsidR="00F3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СНУ </w:t>
            </w:r>
            <w:proofErr w:type="spellStart"/>
            <w:r w:rsidR="00F3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ім.Лесі</w:t>
            </w:r>
            <w:proofErr w:type="spellEnd"/>
            <w:r w:rsidR="00F3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практикується н</w:t>
            </w:r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авчання за спеціальністю</w:t>
            </w:r>
            <w:r w:rsidRPr="00DD605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Pr="00DD6057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Підприємництво, торгівля та біржова діяльність</w:t>
            </w:r>
            <w:r w:rsidRPr="00DD6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яка </w:t>
            </w:r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передбачає підготовку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фахівців, котрі здатні </w:t>
            </w:r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успішно конкурувати в сфері бізнесу та торгівлі, створювати підприємницькі </w:t>
            </w:r>
            <w:proofErr w:type="spellStart"/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стартапи</w:t>
            </w:r>
            <w:proofErr w:type="spellEnd"/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розвивати власну підприємницьку справу, володіти знаннями та практичними навиками</w:t>
            </w:r>
            <w:r w:rsidRPr="00DD605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D60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сфері товарознавства, експертизи товарів, технічного регулювання, митної справи, комерції.</w:t>
            </w:r>
          </w:p>
        </w:tc>
        <w:tc>
          <w:tcPr>
            <w:tcW w:w="1417" w:type="dxa"/>
          </w:tcPr>
          <w:p w:rsidR="00120664" w:rsidRPr="00120664" w:rsidRDefault="00120664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20664" w:rsidRPr="00120664" w:rsidRDefault="00120664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суб’єктів </w:t>
            </w:r>
            <w:proofErr w:type="spellStart"/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підприєм-ницької</w:t>
            </w:r>
            <w:proofErr w:type="spellEnd"/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діяльності, </w:t>
            </w:r>
            <w:proofErr w:type="spellStart"/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зацікавле-них</w:t>
            </w:r>
            <w:proofErr w:type="spellEnd"/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2551" w:type="dxa"/>
          </w:tcPr>
          <w:p w:rsidR="00120664" w:rsidRPr="00120664" w:rsidRDefault="00DD6057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20664"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освіти, науки та молоді облдержадміністрації, департамент економіки та європейської інтеграції облдержадміністрації, заклади освіти області</w:t>
            </w:r>
          </w:p>
        </w:tc>
      </w:tr>
      <w:tr w:rsidR="006F5C8B" w:rsidRPr="005122CC" w:rsidTr="00234DBE">
        <w:trPr>
          <w:trHeight w:val="1101"/>
        </w:trPr>
        <w:tc>
          <w:tcPr>
            <w:tcW w:w="816" w:type="dxa"/>
          </w:tcPr>
          <w:p w:rsidR="006F5C8B" w:rsidRPr="00120664" w:rsidRDefault="006F5C8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3.3.</w:t>
            </w:r>
          </w:p>
        </w:tc>
        <w:tc>
          <w:tcPr>
            <w:tcW w:w="2977" w:type="dxa"/>
          </w:tcPr>
          <w:p w:rsidR="006F5C8B" w:rsidRPr="006F5C8B" w:rsidRDefault="006F5C8B" w:rsidP="005122C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рати участь у підготовці урочистих заходів з нагоди святкування Дня підприємця та відзначення провідних підприємців області</w:t>
            </w:r>
          </w:p>
        </w:tc>
        <w:tc>
          <w:tcPr>
            <w:tcW w:w="1418" w:type="dxa"/>
          </w:tcPr>
          <w:p w:rsidR="006F5C8B" w:rsidRPr="00120664" w:rsidRDefault="006F5C8B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 роки</w:t>
            </w:r>
          </w:p>
          <w:p w:rsidR="006F5C8B" w:rsidRPr="00120664" w:rsidRDefault="006F5C8B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6F5C8B" w:rsidRPr="000977BB" w:rsidRDefault="000977BB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 до  Указу  Президента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 1998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№ 1110/98 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у першу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неділю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відзначається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proofErr w:type="gram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ідприємця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свята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2018 році </w:t>
            </w:r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сумлінну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працю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особистий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нагород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 </w:t>
            </w:r>
            <w:r w:rsidRPr="0009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осіб.</w:t>
            </w:r>
          </w:p>
        </w:tc>
        <w:tc>
          <w:tcPr>
            <w:tcW w:w="1417" w:type="dxa"/>
          </w:tcPr>
          <w:p w:rsidR="006F5C8B" w:rsidRPr="00120664" w:rsidRDefault="006F5C8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6F5C8B" w:rsidRPr="00553C37" w:rsidRDefault="006F5C8B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6F5C8B" w:rsidRPr="006F5C8B" w:rsidRDefault="00DD6057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F5C8B" w:rsidRPr="006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 економіки та європейської інтеграції облдержадміністрації, райдержадміністрації, виконкоми міських (міст обласного значення) рад</w:t>
            </w:r>
          </w:p>
        </w:tc>
      </w:tr>
      <w:tr w:rsidR="00823A12" w:rsidRPr="00120664" w:rsidTr="00234DBE">
        <w:trPr>
          <w:trHeight w:val="1101"/>
        </w:trPr>
        <w:tc>
          <w:tcPr>
            <w:tcW w:w="816" w:type="dxa"/>
          </w:tcPr>
          <w:p w:rsidR="00823A12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3.4.</w:t>
            </w:r>
          </w:p>
        </w:tc>
        <w:tc>
          <w:tcPr>
            <w:tcW w:w="2977" w:type="dxa"/>
          </w:tcPr>
          <w:p w:rsidR="00823A12" w:rsidRPr="002350DA" w:rsidRDefault="00823A12" w:rsidP="005122C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35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иплатити допомогу по безробіттю одноразово для організації підприємницької діяльності безробітним із числа застрахованих осіб, які виявили бажання її провадити</w:t>
            </w:r>
          </w:p>
        </w:tc>
        <w:tc>
          <w:tcPr>
            <w:tcW w:w="1418" w:type="dxa"/>
          </w:tcPr>
          <w:p w:rsidR="00823A12" w:rsidRPr="00120664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 роки</w:t>
            </w:r>
          </w:p>
          <w:p w:rsidR="00823A12" w:rsidRPr="00120664" w:rsidRDefault="00823A12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823A12" w:rsidRPr="00823A12" w:rsidRDefault="00823A12" w:rsidP="005122CC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23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зайнятості сприяє розгортанню підприємницької діяльності шляхом виплати одноразово допомоги по безробіттю для відкриття власної справи безробітними. У 2018 році власну справу започаткували 135 безробітних осіб на суму 2969,1 </w:t>
            </w:r>
            <w:proofErr w:type="spellStart"/>
            <w:r w:rsidRPr="00823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23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 З них: жінки – 65 осіб, молодь у віці до 35 років – 73 особи, мають додаткові гарантії у сприянню працевлаштуванню – 53 особи, особи з інвалідністю – 7 осіб.</w:t>
            </w:r>
            <w:r w:rsidRPr="00823A1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Поширеними в</w:t>
            </w:r>
            <w:bookmarkStart w:id="0" w:name="_GoBack"/>
            <w:bookmarkEnd w:id="0"/>
            <w:r w:rsidRPr="00823A1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идами підприємницької діяльності, за якими безробітні відкрили власну справу, є:</w:t>
            </w:r>
          </w:p>
          <w:p w:rsidR="00823A12" w:rsidRPr="00823A12" w:rsidRDefault="00823A12" w:rsidP="00512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23A1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роздрібна торгівля (різними групами товарів);</w:t>
            </w:r>
          </w:p>
          <w:p w:rsidR="00823A12" w:rsidRPr="00823A12" w:rsidRDefault="00823A12" w:rsidP="00512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23A1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діяльність у сфері сільського господарства, мисливства та лісового господарства;</w:t>
            </w:r>
          </w:p>
          <w:p w:rsidR="00823A12" w:rsidRPr="00823A12" w:rsidRDefault="00823A12" w:rsidP="00512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23A1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 транспортні перевезення;</w:t>
            </w:r>
          </w:p>
          <w:p w:rsidR="00823A12" w:rsidRPr="00823A12" w:rsidRDefault="00823A12" w:rsidP="0051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A1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 надання перукарських послуг.</w:t>
            </w:r>
          </w:p>
        </w:tc>
        <w:tc>
          <w:tcPr>
            <w:tcW w:w="1417" w:type="dxa"/>
          </w:tcPr>
          <w:p w:rsidR="00823A12" w:rsidRPr="0085566F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823A12" w:rsidRPr="002350DA" w:rsidRDefault="00823A12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35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ошти Фонду </w:t>
            </w:r>
            <w:proofErr w:type="spellStart"/>
            <w:r w:rsidRPr="00235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загально-обов’язко-вого</w:t>
            </w:r>
            <w:proofErr w:type="spellEnd"/>
            <w:r w:rsidRPr="00235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соціального страхування України на випадок безробіття</w:t>
            </w:r>
          </w:p>
        </w:tc>
        <w:tc>
          <w:tcPr>
            <w:tcW w:w="2551" w:type="dxa"/>
          </w:tcPr>
          <w:p w:rsidR="00823A12" w:rsidRPr="002350DA" w:rsidRDefault="00DD6057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23A12" w:rsidRPr="00235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центр зайнятості</w:t>
            </w:r>
          </w:p>
        </w:tc>
      </w:tr>
      <w:tr w:rsidR="00823A12" w:rsidRPr="00120664" w:rsidTr="00234DBE">
        <w:trPr>
          <w:trHeight w:val="1101"/>
        </w:trPr>
        <w:tc>
          <w:tcPr>
            <w:tcW w:w="816" w:type="dxa"/>
          </w:tcPr>
          <w:p w:rsidR="00823A12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3.5.</w:t>
            </w:r>
          </w:p>
        </w:tc>
        <w:tc>
          <w:tcPr>
            <w:tcW w:w="2977" w:type="dxa"/>
          </w:tcPr>
          <w:p w:rsidR="00823A12" w:rsidRPr="00BE588C" w:rsidRDefault="00E328BB" w:rsidP="005122C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23A12"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прияння суб’єктам господарювання у проведенні виставок і ярмарків</w:t>
            </w:r>
          </w:p>
        </w:tc>
        <w:tc>
          <w:tcPr>
            <w:tcW w:w="1418" w:type="dxa"/>
          </w:tcPr>
          <w:p w:rsidR="00823A12" w:rsidRPr="00120664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 роки</w:t>
            </w:r>
          </w:p>
          <w:p w:rsidR="00823A12" w:rsidRPr="00120664" w:rsidRDefault="00823A12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823A12" w:rsidRDefault="00823A12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Райдержадміністрації, виконкоми міських  (міст обласного значення) 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сприяють </w:t>
            </w:r>
            <w:r w:rsidRPr="0055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суб’єктам господарювання  у проведенні виставок і ярмарків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В обласному та районних центрах традиційними стали ярмарки «Село-місту» за участі виробників сільськогосподарської продукції, у тому числі власників фермерських і особистих селянських господарств.</w:t>
            </w:r>
          </w:p>
          <w:p w:rsidR="00281CC6" w:rsidRPr="00281CC6" w:rsidRDefault="00281CC6" w:rsidP="005122CC">
            <w:pPr>
              <w:pStyle w:val="ac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/>
                <w:lang w:val="uk-UA"/>
              </w:rPr>
            </w:pPr>
            <w:r w:rsidRPr="00281CC6">
              <w:rPr>
                <w:lang w:val="uk-UA"/>
              </w:rPr>
              <w:lastRenderedPageBreak/>
              <w:t xml:space="preserve">11 грудня 2018 року  в РЦ «Промінь»  вперше </w:t>
            </w:r>
            <w:proofErr w:type="spellStart"/>
            <w:r w:rsidRPr="00281CC6">
              <w:rPr>
                <w:color w:val="000000"/>
              </w:rPr>
              <w:t>відбувся</w:t>
            </w:r>
            <w:proofErr w:type="spellEnd"/>
            <w:r w:rsidRPr="00281CC6">
              <w:rPr>
                <w:color w:val="000000"/>
              </w:rPr>
              <w:t xml:space="preserve"> </w:t>
            </w:r>
            <w:r w:rsidRPr="00281CC6">
              <w:rPr>
                <w:color w:val="000000"/>
                <w:lang w:val="uk-UA"/>
              </w:rPr>
              <w:t>я</w:t>
            </w:r>
            <w:proofErr w:type="spellStart"/>
            <w:r w:rsidRPr="00281CC6">
              <w:rPr>
                <w:color w:val="000000"/>
              </w:rPr>
              <w:t>рмарок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сирів</w:t>
            </w:r>
            <w:proofErr w:type="spellEnd"/>
            <w:r w:rsidRPr="00281CC6">
              <w:rPr>
                <w:color w:val="000000"/>
              </w:rPr>
              <w:t xml:space="preserve"> в рамках проекту «</w:t>
            </w:r>
            <w:proofErr w:type="spellStart"/>
            <w:r w:rsidRPr="00281CC6">
              <w:rPr>
                <w:color w:val="000000"/>
              </w:rPr>
              <w:t>Сприяння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впровадженню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новітніх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технологій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переробки</w:t>
            </w:r>
            <w:proofErr w:type="spellEnd"/>
            <w:r w:rsidRPr="00281CC6">
              <w:rPr>
                <w:color w:val="000000"/>
              </w:rPr>
              <w:t xml:space="preserve"> молока у </w:t>
            </w:r>
            <w:proofErr w:type="spellStart"/>
            <w:r w:rsidRPr="00281CC6">
              <w:rPr>
                <w:color w:val="000000"/>
              </w:rPr>
              <w:t>Волинській</w:t>
            </w:r>
            <w:proofErr w:type="spellEnd"/>
            <w:r w:rsidRPr="00281CC6">
              <w:rPr>
                <w:color w:val="000000"/>
              </w:rPr>
              <w:t xml:space="preserve"> та </w:t>
            </w:r>
            <w:proofErr w:type="spellStart"/>
            <w:r w:rsidRPr="00281CC6">
              <w:rPr>
                <w:color w:val="000000"/>
              </w:rPr>
              <w:t>Рівненській</w:t>
            </w:r>
            <w:proofErr w:type="spellEnd"/>
            <w:r w:rsidRPr="00281CC6">
              <w:rPr>
                <w:color w:val="000000"/>
              </w:rPr>
              <w:t xml:space="preserve"> областях шляхом </w:t>
            </w:r>
            <w:r w:rsidRPr="00281CC6">
              <w:rPr>
                <w:color w:val="000000"/>
                <w:lang w:val="uk-UA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ознайомлення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з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кращими</w:t>
            </w:r>
            <w:proofErr w:type="spellEnd"/>
            <w:r w:rsidRPr="00281CC6">
              <w:rPr>
                <w:color w:val="000000"/>
              </w:rPr>
              <w:t xml:space="preserve"> </w:t>
            </w:r>
            <w:proofErr w:type="spellStart"/>
            <w:r w:rsidRPr="00281CC6">
              <w:rPr>
                <w:color w:val="000000"/>
              </w:rPr>
              <w:t>польськими</w:t>
            </w:r>
            <w:proofErr w:type="spellEnd"/>
            <w:r w:rsidRPr="00281CC6">
              <w:rPr>
                <w:color w:val="000000"/>
              </w:rPr>
              <w:t xml:space="preserve"> практиками». </w:t>
            </w:r>
            <w:r w:rsidRPr="00281CC6">
              <w:rPr>
                <w:color w:val="000000"/>
                <w:lang w:val="uk-UA"/>
              </w:rPr>
              <w:t xml:space="preserve"> </w:t>
            </w:r>
          </w:p>
          <w:p w:rsidR="00281CC6" w:rsidRPr="00281CC6" w:rsidRDefault="00281CC6" w:rsidP="005122CC">
            <w:pPr>
              <w:pStyle w:val="ac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lang w:val="uk-UA"/>
              </w:rPr>
            </w:pPr>
            <w:r w:rsidRPr="00281CC6">
              <w:rPr>
                <w:color w:val="000000"/>
                <w:lang w:val="uk-UA"/>
              </w:rPr>
              <w:t xml:space="preserve">У ярмарку взяли участь волинські виробники </w:t>
            </w:r>
            <w:proofErr w:type="spellStart"/>
            <w:r w:rsidRPr="00281CC6">
              <w:rPr>
                <w:color w:val="000000"/>
                <w:lang w:val="uk-UA"/>
              </w:rPr>
              <w:t>ТзОВ</w:t>
            </w:r>
            <w:proofErr w:type="spellEnd"/>
            <w:r w:rsidRPr="00281CC6">
              <w:rPr>
                <w:color w:val="000000"/>
                <w:lang w:val="uk-UA"/>
              </w:rPr>
              <w:t xml:space="preserve"> «Шацький молокозавод</w:t>
            </w:r>
            <w:r w:rsidRPr="00281CC6">
              <w:rPr>
                <w:lang w:val="uk-UA"/>
              </w:rPr>
              <w:t>»,</w:t>
            </w:r>
            <w:r w:rsidRPr="00281CC6">
              <w:rPr>
                <w:rStyle w:val="apple-converted-space"/>
              </w:rPr>
              <w:t> </w:t>
            </w:r>
            <w:hyperlink r:id="rId7" w:history="1">
              <w:proofErr w:type="spellStart"/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>ТзОВ</w:t>
              </w:r>
              <w:proofErr w:type="spellEnd"/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 xml:space="preserve"> «Старий </w:t>
              </w:r>
              <w:proofErr w:type="spellStart"/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>Порицьк</w:t>
              </w:r>
              <w:proofErr w:type="spellEnd"/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>»</w:t>
              </w:r>
            </w:hyperlink>
            <w:r w:rsidRPr="00281CC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81CC6">
              <w:rPr>
                <w:color w:val="000000" w:themeColor="text1"/>
                <w:lang w:val="uk-UA"/>
              </w:rPr>
              <w:t>Іваничівського</w:t>
            </w:r>
            <w:proofErr w:type="spellEnd"/>
            <w:r w:rsidRPr="00281CC6">
              <w:rPr>
                <w:color w:val="000000" w:themeColor="text1"/>
                <w:lang w:val="uk-UA"/>
              </w:rPr>
              <w:t xml:space="preserve"> району,</w:t>
            </w:r>
            <w:r w:rsidRPr="00281CC6">
              <w:rPr>
                <w:rStyle w:val="apple-converted-space"/>
                <w:color w:val="000000" w:themeColor="text1"/>
              </w:rPr>
              <w:t> </w:t>
            </w:r>
            <w:r w:rsidRPr="00281CC6">
              <w:rPr>
                <w:rStyle w:val="apple-converted-space"/>
                <w:color w:val="000000" w:themeColor="text1"/>
                <w:lang w:val="uk-UA"/>
              </w:rPr>
              <w:t xml:space="preserve"> </w:t>
            </w:r>
            <w:hyperlink r:id="rId8" w:history="1"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 xml:space="preserve">ПОСП імені Шевченка  </w:t>
              </w:r>
              <w:proofErr w:type="spellStart"/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>Горохівського</w:t>
              </w:r>
              <w:proofErr w:type="spellEnd"/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 xml:space="preserve"> району,  </w:t>
              </w:r>
            </w:hyperlink>
            <w:r w:rsidRPr="00281CC6">
              <w:rPr>
                <w:rStyle w:val="apple-converted-space"/>
                <w:color w:val="000000" w:themeColor="text1"/>
                <w:lang w:val="uk-UA"/>
              </w:rPr>
              <w:t xml:space="preserve"> </w:t>
            </w:r>
            <w:hyperlink r:id="rId9" w:history="1"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>ФГ «Шляхом традицій»</w:t>
              </w:r>
            </w:hyperlink>
            <w:r w:rsidRPr="00281CC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81CC6">
              <w:rPr>
                <w:color w:val="000000" w:themeColor="text1"/>
                <w:lang w:val="uk-UA"/>
              </w:rPr>
              <w:t>Рожищенського</w:t>
            </w:r>
            <w:proofErr w:type="spellEnd"/>
            <w:r w:rsidRPr="00281CC6">
              <w:rPr>
                <w:color w:val="000000" w:themeColor="text1"/>
                <w:lang w:val="uk-UA"/>
              </w:rPr>
              <w:t xml:space="preserve"> району, власники особистих селянських господарств Віктор </w:t>
            </w:r>
            <w:proofErr w:type="spellStart"/>
            <w:r w:rsidRPr="00281CC6">
              <w:rPr>
                <w:color w:val="000000" w:themeColor="text1"/>
                <w:lang w:val="uk-UA"/>
              </w:rPr>
              <w:t>Бошель</w:t>
            </w:r>
            <w:proofErr w:type="spellEnd"/>
            <w:r w:rsidRPr="00281CC6">
              <w:rPr>
                <w:color w:val="000000" w:themeColor="text1"/>
                <w:lang w:val="uk-UA"/>
              </w:rPr>
              <w:t xml:space="preserve"> та Наталія </w:t>
            </w:r>
            <w:proofErr w:type="spellStart"/>
            <w:r w:rsidRPr="00281CC6">
              <w:rPr>
                <w:color w:val="000000" w:themeColor="text1"/>
                <w:lang w:val="uk-UA"/>
              </w:rPr>
              <w:t>Видрич</w:t>
            </w:r>
            <w:proofErr w:type="spellEnd"/>
            <w:r w:rsidRPr="00281CC6">
              <w:rPr>
                <w:color w:val="000000" w:themeColor="text1"/>
                <w:lang w:val="uk-UA"/>
              </w:rPr>
              <w:t>, сільськогосподарський обслуговуючий кооператив «</w:t>
            </w:r>
            <w:proofErr w:type="spellStart"/>
            <w:r w:rsidRPr="00281CC6">
              <w:rPr>
                <w:color w:val="000000" w:themeColor="text1"/>
                <w:lang w:val="uk-UA"/>
              </w:rPr>
              <w:t>ГориньДар</w:t>
            </w:r>
            <w:proofErr w:type="spellEnd"/>
            <w:r w:rsidRPr="00281CC6">
              <w:rPr>
                <w:color w:val="000000" w:themeColor="text1"/>
                <w:lang w:val="uk-UA"/>
              </w:rPr>
              <w:t>» із Рівненщини.</w:t>
            </w:r>
          </w:p>
          <w:p w:rsidR="00281CC6" w:rsidRPr="00120664" w:rsidRDefault="00281CC6" w:rsidP="005122C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81CC6">
              <w:rPr>
                <w:color w:val="000000" w:themeColor="text1"/>
              </w:rPr>
              <w:t> </w:t>
            </w:r>
            <w:r w:rsidRPr="00281CC6">
              <w:rPr>
                <w:color w:val="000000" w:themeColor="text1"/>
                <w:lang w:val="uk-UA"/>
              </w:rPr>
              <w:t xml:space="preserve"> </w:t>
            </w:r>
            <w:r w:rsidRPr="00281CC6">
              <w:rPr>
                <w:color w:val="000000" w:themeColor="text1"/>
              </w:rPr>
              <w:t> </w:t>
            </w:r>
            <w:r w:rsidRPr="00281CC6">
              <w:rPr>
                <w:color w:val="000000" w:themeColor="text1"/>
                <w:lang w:val="uk-UA"/>
              </w:rPr>
              <w:t xml:space="preserve"> </w:t>
            </w:r>
            <w:r w:rsidRPr="00281CC6">
              <w:rPr>
                <w:color w:val="000000" w:themeColor="text1"/>
              </w:rPr>
              <w:t> </w:t>
            </w:r>
            <w:r w:rsidRPr="00281CC6">
              <w:rPr>
                <w:color w:val="000000" w:themeColor="text1"/>
                <w:lang w:val="uk-UA"/>
              </w:rPr>
              <w:t>Протягом липня-листопада 2018 року виробники сирів відвідували тренінги, були учасниками ознайомлювальних поїздок до</w:t>
            </w:r>
            <w:r w:rsidRPr="00281CC6">
              <w:rPr>
                <w:rStyle w:val="apple-converted-space"/>
                <w:color w:val="000000" w:themeColor="text1"/>
              </w:rPr>
              <w:t> </w:t>
            </w:r>
            <w:hyperlink r:id="rId10" w:history="1"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>підприємств з України</w:t>
              </w:r>
            </w:hyperlink>
            <w:r w:rsidRPr="00281CC6">
              <w:rPr>
                <w:rStyle w:val="apple-converted-space"/>
                <w:color w:val="000000" w:themeColor="text1"/>
              </w:rPr>
              <w:t> </w:t>
            </w:r>
            <w:r w:rsidRPr="00281CC6">
              <w:rPr>
                <w:color w:val="000000" w:themeColor="text1"/>
                <w:lang w:val="uk-UA"/>
              </w:rPr>
              <w:t>та</w:t>
            </w:r>
            <w:r w:rsidRPr="00281CC6">
              <w:rPr>
                <w:rStyle w:val="apple-converted-space"/>
                <w:color w:val="000000" w:themeColor="text1"/>
              </w:rPr>
              <w:t> </w:t>
            </w:r>
            <w:hyperlink r:id="rId11" w:history="1">
              <w:r w:rsidRPr="00281CC6">
                <w:rPr>
                  <w:rStyle w:val="ab"/>
                  <w:color w:val="000000" w:themeColor="text1"/>
                  <w:u w:val="none"/>
                  <w:lang w:val="uk-UA"/>
                </w:rPr>
                <w:t>Польщі</w:t>
              </w:r>
            </w:hyperlink>
            <w:r w:rsidRPr="00281CC6">
              <w:rPr>
                <w:color w:val="000000" w:themeColor="text1"/>
                <w:lang w:val="uk-UA"/>
              </w:rPr>
              <w:t>, щоб покращити свої навики у сироварінні.</w:t>
            </w:r>
          </w:p>
        </w:tc>
        <w:tc>
          <w:tcPr>
            <w:tcW w:w="1417" w:type="dxa"/>
          </w:tcPr>
          <w:p w:rsidR="00823A12" w:rsidRPr="0085566F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823A12" w:rsidRPr="00BE588C" w:rsidRDefault="00823A12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823A12" w:rsidRPr="00BE588C" w:rsidRDefault="00DD6057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23A12"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айдержадміністрації, виконкоми міських (міст обласного значення) рад</w:t>
            </w:r>
          </w:p>
        </w:tc>
      </w:tr>
      <w:tr w:rsidR="00823A12" w:rsidRPr="005122CC" w:rsidTr="00234DBE">
        <w:trPr>
          <w:trHeight w:val="1101"/>
        </w:trPr>
        <w:tc>
          <w:tcPr>
            <w:tcW w:w="816" w:type="dxa"/>
          </w:tcPr>
          <w:p w:rsidR="00823A12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3.5.1.</w:t>
            </w:r>
          </w:p>
        </w:tc>
        <w:tc>
          <w:tcPr>
            <w:tcW w:w="2977" w:type="dxa"/>
          </w:tcPr>
          <w:p w:rsidR="00823A12" w:rsidRPr="00BE588C" w:rsidRDefault="00E328BB" w:rsidP="005122C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23A12"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абезпечення вільного доступу ділових кіл області до інформації про регіональні, національні та міжнародні інвестиційно-ярмаркові заходи шляхом повідомлення провідних товаровиробників області та розміщення інформації на </w:t>
            </w:r>
            <w:proofErr w:type="spellStart"/>
            <w:r w:rsidR="00823A12"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веб-сайтах</w:t>
            </w:r>
            <w:proofErr w:type="spellEnd"/>
            <w:r w:rsidR="00823A12"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  <w:tc>
          <w:tcPr>
            <w:tcW w:w="1418" w:type="dxa"/>
          </w:tcPr>
          <w:p w:rsidR="00823A12" w:rsidRPr="00120664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 роки</w:t>
            </w:r>
          </w:p>
          <w:p w:rsidR="00823A12" w:rsidRPr="00120664" w:rsidRDefault="00823A12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823A12" w:rsidRPr="006218BD" w:rsidRDefault="00823A12" w:rsidP="005122CC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1A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виставково-ярмаркові заходів, що проводились в Україні та за її межами 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1A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звітного періоду </w:t>
            </w:r>
            <w:r w:rsidRPr="001A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розповсюджувалась серед товаровиробників області, розміщувалась на </w:t>
            </w:r>
            <w:proofErr w:type="spellStart"/>
            <w:r w:rsidRPr="001A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1A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веб-сторінці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департаменту агропромислового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Волинської обласної державної адміністрації                            http: 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www.vol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dm</w:t>
            </w:r>
            <w:proofErr w:type="spellEnd"/>
            <w:r w:rsidRPr="00621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21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розділі «Заходи».</w:t>
            </w:r>
          </w:p>
          <w:p w:rsidR="00823A12" w:rsidRPr="00120664" w:rsidRDefault="00823A12" w:rsidP="0051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23A12" w:rsidRPr="0085566F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823A12" w:rsidRPr="00BE588C" w:rsidRDefault="00823A12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551" w:type="dxa"/>
          </w:tcPr>
          <w:p w:rsidR="00823A12" w:rsidRPr="00BE588C" w:rsidRDefault="00DD6057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23A12"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 економіки та європейської інтеграції, департамент агропромислового розвитку, управління культури облдержадміністрації, Волинський обласний фонд підтримки підприємництва, Волинська торгово-</w:t>
            </w:r>
            <w:r w:rsidR="00823A12" w:rsidRPr="00BE5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промислова палата</w:t>
            </w:r>
          </w:p>
        </w:tc>
      </w:tr>
      <w:tr w:rsidR="00823A12" w:rsidRPr="005122CC" w:rsidTr="00D96C66">
        <w:trPr>
          <w:trHeight w:val="699"/>
        </w:trPr>
        <w:tc>
          <w:tcPr>
            <w:tcW w:w="816" w:type="dxa"/>
          </w:tcPr>
          <w:p w:rsidR="00823A12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3.5.2.</w:t>
            </w:r>
          </w:p>
        </w:tc>
        <w:tc>
          <w:tcPr>
            <w:tcW w:w="2977" w:type="dxa"/>
          </w:tcPr>
          <w:p w:rsidR="00823A12" w:rsidRPr="000E381A" w:rsidRDefault="00E328BB" w:rsidP="005122C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23A12"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нформування українських та зарубіжних інвесторів про регіональні інвестиційні проекти підприємств, представлення їх на інвестиційно-виставкових заходах</w:t>
            </w:r>
          </w:p>
        </w:tc>
        <w:tc>
          <w:tcPr>
            <w:tcW w:w="1418" w:type="dxa"/>
          </w:tcPr>
          <w:p w:rsidR="00823A12" w:rsidRPr="00120664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 роки</w:t>
            </w:r>
          </w:p>
          <w:p w:rsidR="00823A12" w:rsidRPr="00120664" w:rsidRDefault="00823A12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823A12" w:rsidRPr="00947F91" w:rsidRDefault="00823A12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регіональні інвестиційні проекти підприємств розповсюджувалась при проведенні зустрічей з представниками ділових кіл, вітчизняними та зарубіжними інвесторами.</w:t>
            </w:r>
          </w:p>
          <w:p w:rsidR="00823A12" w:rsidRPr="00120664" w:rsidRDefault="00823A12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участі суб’єктів підприємницької діяльності у різноманітних заходах для підвищення їх конкурентоспроможності на світових ринках місцевими органами виконавчої влади висвітлюється інформація про регіональні, національні та міжнародні  інвестиційно-ярмаркові заходи на офіційному </w:t>
            </w:r>
            <w:proofErr w:type="spellStart"/>
            <w:r w:rsidRPr="0094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94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а також надсилаються листи-запрошення провідним товаровиробникам області до участі та презентації.</w:t>
            </w:r>
          </w:p>
        </w:tc>
        <w:tc>
          <w:tcPr>
            <w:tcW w:w="1417" w:type="dxa"/>
          </w:tcPr>
          <w:p w:rsidR="00823A12" w:rsidRPr="0085566F" w:rsidRDefault="00823A12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823A12" w:rsidRPr="000E381A" w:rsidRDefault="00823A12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обласного бюджету, суб’єктів </w:t>
            </w:r>
            <w:proofErr w:type="spellStart"/>
            <w:r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підприєм-ницької</w:t>
            </w:r>
            <w:proofErr w:type="spellEnd"/>
            <w:r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2551" w:type="dxa"/>
          </w:tcPr>
          <w:p w:rsidR="00823A12" w:rsidRPr="000E381A" w:rsidRDefault="00DD6057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23A12"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 економіки та європейської інтеграції, департамент агропромислового розвитку облдержадміністрації, Волинський обласний фонд підтримки підприємництва, Волинська ТПП</w:t>
            </w:r>
          </w:p>
        </w:tc>
      </w:tr>
      <w:tr w:rsidR="00147390" w:rsidRPr="00120664" w:rsidTr="00234DBE">
        <w:trPr>
          <w:trHeight w:val="1101"/>
        </w:trPr>
        <w:tc>
          <w:tcPr>
            <w:tcW w:w="816" w:type="dxa"/>
          </w:tcPr>
          <w:p w:rsidR="00147390" w:rsidRDefault="00147390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3.6.</w:t>
            </w:r>
          </w:p>
        </w:tc>
        <w:tc>
          <w:tcPr>
            <w:tcW w:w="2977" w:type="dxa"/>
          </w:tcPr>
          <w:p w:rsidR="00147390" w:rsidRPr="000E381A" w:rsidRDefault="00E328BB" w:rsidP="005122C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47390"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рганізувати для безробітних семінари, тренінги, навчання з орієнтації на підприємницьку діяльність</w:t>
            </w:r>
            <w:r w:rsid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47390" w:rsidRPr="00FD2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орієнтувати сільське незайняте населення до </w:t>
            </w:r>
            <w:proofErr w:type="spellStart"/>
            <w:r w:rsidR="00147390" w:rsidRPr="00FD2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несільсько-господарських</w:t>
            </w:r>
            <w:proofErr w:type="spellEnd"/>
            <w:r w:rsidR="00147390" w:rsidRPr="00FD2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видів економічної діяльності, зокрема до надання послуг у сфері зеленого туризму та розвитку його інфраструктури</w:t>
            </w:r>
          </w:p>
        </w:tc>
        <w:tc>
          <w:tcPr>
            <w:tcW w:w="1418" w:type="dxa"/>
          </w:tcPr>
          <w:p w:rsidR="00147390" w:rsidRPr="00120664" w:rsidRDefault="00147390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2020 роки</w:t>
            </w:r>
          </w:p>
          <w:p w:rsidR="00147390" w:rsidRPr="00120664" w:rsidRDefault="00147390" w:rsidP="005122CC">
            <w:pPr>
              <w:pStyle w:val="3"/>
              <w:jc w:val="left"/>
              <w:rPr>
                <w:b w:val="0"/>
                <w:bCs w:val="0"/>
              </w:rPr>
            </w:pPr>
          </w:p>
        </w:tc>
        <w:tc>
          <w:tcPr>
            <w:tcW w:w="5671" w:type="dxa"/>
          </w:tcPr>
          <w:p w:rsidR="00147390" w:rsidRDefault="00147390" w:rsidP="005122C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2018 року Волинська обласна служба зайнятості для інформування населення організовувала семінари та тренінги з орієнтації на підприємницьку діяльність, які висвітлювалися на </w:t>
            </w:r>
            <w:proofErr w:type="spellStart"/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Інтернет-ресурсі</w:t>
            </w:r>
            <w:proofErr w:type="spellEnd"/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служби зайнятості «Єдине соціальне середовище зайнятості» Волинської регіональної служби у рубриці «Семінари, тренінги». Загалом опубліковано 140 дописів. На офіційній сторінці Волинського обласного центру зайнятості у соціальній мережі </w:t>
            </w:r>
            <w:proofErr w:type="spellStart"/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розміщено публікації про семінари і тренінги.</w:t>
            </w:r>
            <w:r w:rsid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  осіб, які виявили бажання займатися власною справою в центрах зайнятості та філіях обласного центру зайнятості проводилися семінари, тренінги, форуми, інтерактивні заняття. Протягом </w:t>
            </w:r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2018 року проведено 329 семінари «Як розпочати свій бізнес</w:t>
            </w:r>
            <w:r w:rsid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?» для 3258 осіб.</w:t>
            </w:r>
          </w:p>
          <w:p w:rsidR="00024831" w:rsidRPr="00147390" w:rsidRDefault="00024831" w:rsidP="005122CC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 обласна служба зайнятості інформувала населення про семінари та тренінги, на яких орієнтують незайняте населення до несільськогосподарських видів економічної діяльності. Постійно висвітлювалися засідання «Школи підтримки культури та туризму».</w:t>
            </w:r>
            <w:r w:rsidR="00D96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2018 року проведено 79 заходів з орієнтації на зелений туризм для 1102 осіб.</w:t>
            </w:r>
            <w:r w:rsidRPr="0002483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Активно впроваджується така форма роботи як економічні екскурсії на </w:t>
            </w:r>
            <w:proofErr w:type="spellStart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агросадиби</w:t>
            </w:r>
            <w:proofErr w:type="spellEnd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2483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звітного періоду проводились майстер-класи за напрямками: писанкарство, </w:t>
            </w:r>
            <w:proofErr w:type="spellStart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бісероплетіння</w:t>
            </w:r>
            <w:proofErr w:type="spellEnd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корнепластика</w:t>
            </w:r>
            <w:proofErr w:type="spellEnd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плетіння з паперу та «</w:t>
            </w:r>
            <w:proofErr w:type="spellStart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лялька-мотанка</w:t>
            </w:r>
            <w:proofErr w:type="spellEnd"/>
            <w:r w:rsidRPr="00024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417" w:type="dxa"/>
          </w:tcPr>
          <w:p w:rsidR="00147390" w:rsidRPr="0085566F" w:rsidRDefault="00147390" w:rsidP="0051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47390" w:rsidRPr="000E381A" w:rsidRDefault="00147390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Фонду </w:t>
            </w:r>
            <w:proofErr w:type="spellStart"/>
            <w:r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загально-обов’язко-вого</w:t>
            </w:r>
            <w:proofErr w:type="spellEnd"/>
            <w:r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соціального страхування України на випадок безробіття</w:t>
            </w:r>
          </w:p>
        </w:tc>
        <w:tc>
          <w:tcPr>
            <w:tcW w:w="2551" w:type="dxa"/>
          </w:tcPr>
          <w:p w:rsidR="00147390" w:rsidRPr="000E381A" w:rsidRDefault="00DD6057" w:rsidP="0051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47390" w:rsidRPr="000E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центр зайнятості</w:t>
            </w:r>
          </w:p>
        </w:tc>
      </w:tr>
    </w:tbl>
    <w:p w:rsidR="000A08E8" w:rsidRPr="0017732B" w:rsidRDefault="000A08E8" w:rsidP="005122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0A08E8" w:rsidRPr="0017732B" w:rsidSect="003834E2">
      <w:headerReference w:type="even" r:id="rId12"/>
      <w:headerReference w:type="default" r:id="rId13"/>
      <w:footerReference w:type="even" r:id="rId14"/>
      <w:pgSz w:w="16838" w:h="11906" w:orient="landscape" w:code="9"/>
      <w:pgMar w:top="2075" w:right="567" w:bottom="567" w:left="567" w:header="1701" w:footer="567" w:gutter="0"/>
      <w:pgNumType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D5" w:rsidRDefault="00A61AD5" w:rsidP="00657732">
      <w:pPr>
        <w:spacing w:after="0" w:line="240" w:lineRule="auto"/>
      </w:pPr>
      <w:r>
        <w:separator/>
      </w:r>
    </w:p>
  </w:endnote>
  <w:endnote w:type="continuationSeparator" w:id="0">
    <w:p w:rsidR="00A61AD5" w:rsidRDefault="00A61AD5" w:rsidP="0065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BD" w:rsidRDefault="00476256" w:rsidP="00832EB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3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EBD" w:rsidRDefault="00A61AD5" w:rsidP="00832E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D5" w:rsidRDefault="00A61AD5" w:rsidP="00657732">
      <w:pPr>
        <w:spacing w:after="0" w:line="240" w:lineRule="auto"/>
      </w:pPr>
      <w:r>
        <w:separator/>
      </w:r>
    </w:p>
  </w:footnote>
  <w:footnote w:type="continuationSeparator" w:id="0">
    <w:p w:rsidR="00A61AD5" w:rsidRDefault="00A61AD5" w:rsidP="0065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BD" w:rsidRDefault="00476256" w:rsidP="00832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73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EBD" w:rsidRDefault="00A61A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BD" w:rsidRPr="005079AD" w:rsidRDefault="00A61AD5" w:rsidP="00832EBD">
    <w:pPr>
      <w:pStyle w:val="a3"/>
      <w:tabs>
        <w:tab w:val="clear" w:pos="4677"/>
        <w:tab w:val="clear" w:pos="9355"/>
        <w:tab w:val="left" w:pos="12450"/>
      </w:tabs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32B"/>
    <w:rsid w:val="00024831"/>
    <w:rsid w:val="0002550E"/>
    <w:rsid w:val="00061076"/>
    <w:rsid w:val="00066FA6"/>
    <w:rsid w:val="00092520"/>
    <w:rsid w:val="000977BB"/>
    <w:rsid w:val="000A08E8"/>
    <w:rsid w:val="000E381A"/>
    <w:rsid w:val="0010403E"/>
    <w:rsid w:val="00120664"/>
    <w:rsid w:val="00140E09"/>
    <w:rsid w:val="00147390"/>
    <w:rsid w:val="00156AE1"/>
    <w:rsid w:val="001679D9"/>
    <w:rsid w:val="0017732B"/>
    <w:rsid w:val="00234DBE"/>
    <w:rsid w:val="002350DA"/>
    <w:rsid w:val="00281CC6"/>
    <w:rsid w:val="0029373C"/>
    <w:rsid w:val="00313436"/>
    <w:rsid w:val="00350636"/>
    <w:rsid w:val="0037384B"/>
    <w:rsid w:val="003B6A8D"/>
    <w:rsid w:val="003E58E3"/>
    <w:rsid w:val="00476256"/>
    <w:rsid w:val="005122CC"/>
    <w:rsid w:val="005343A7"/>
    <w:rsid w:val="00574A07"/>
    <w:rsid w:val="005962DC"/>
    <w:rsid w:val="005C2CD2"/>
    <w:rsid w:val="005D1051"/>
    <w:rsid w:val="00636C1A"/>
    <w:rsid w:val="00657732"/>
    <w:rsid w:val="00661406"/>
    <w:rsid w:val="006841A5"/>
    <w:rsid w:val="006B7DD8"/>
    <w:rsid w:val="006D0D68"/>
    <w:rsid w:val="006F3F00"/>
    <w:rsid w:val="006F5C8B"/>
    <w:rsid w:val="00721B73"/>
    <w:rsid w:val="00754398"/>
    <w:rsid w:val="007A5805"/>
    <w:rsid w:val="007C7106"/>
    <w:rsid w:val="007E6E1A"/>
    <w:rsid w:val="008159E0"/>
    <w:rsid w:val="00823A12"/>
    <w:rsid w:val="0085566F"/>
    <w:rsid w:val="008D6856"/>
    <w:rsid w:val="00902742"/>
    <w:rsid w:val="00936568"/>
    <w:rsid w:val="00941A33"/>
    <w:rsid w:val="009C20EA"/>
    <w:rsid w:val="009D486A"/>
    <w:rsid w:val="009D5BAA"/>
    <w:rsid w:val="009D5E3D"/>
    <w:rsid w:val="00A35D9C"/>
    <w:rsid w:val="00A61AD5"/>
    <w:rsid w:val="00A72052"/>
    <w:rsid w:val="00B001D7"/>
    <w:rsid w:val="00B0713F"/>
    <w:rsid w:val="00B4082F"/>
    <w:rsid w:val="00BE588C"/>
    <w:rsid w:val="00C83A6B"/>
    <w:rsid w:val="00D42E6A"/>
    <w:rsid w:val="00D610E7"/>
    <w:rsid w:val="00D80EFC"/>
    <w:rsid w:val="00D83909"/>
    <w:rsid w:val="00D96C66"/>
    <w:rsid w:val="00DD6057"/>
    <w:rsid w:val="00E328BB"/>
    <w:rsid w:val="00F34E78"/>
    <w:rsid w:val="00F368B5"/>
    <w:rsid w:val="00FD2099"/>
    <w:rsid w:val="00F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7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17732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3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7732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177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7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732B"/>
  </w:style>
  <w:style w:type="paragraph" w:styleId="a6">
    <w:name w:val="footer"/>
    <w:basedOn w:val="a"/>
    <w:link w:val="a7"/>
    <w:rsid w:val="00177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732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17732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17732B"/>
    <w:pPr>
      <w:ind w:left="720"/>
      <w:contextualSpacing/>
    </w:pPr>
  </w:style>
  <w:style w:type="paragraph" w:styleId="a9">
    <w:name w:val="Body Text"/>
    <w:basedOn w:val="a"/>
    <w:link w:val="aa"/>
    <w:rsid w:val="00281C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281C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rsid w:val="00281CC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8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1CC6"/>
  </w:style>
  <w:style w:type="character" w:styleId="ad">
    <w:name w:val="Strong"/>
    <w:basedOn w:val="a0"/>
    <w:uiPriority w:val="22"/>
    <w:qFormat/>
    <w:rsid w:val="00DD6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volyn.gov.ua/news/volinske-agropidpriiemstvo-viroblyaie-moloko-dlya-produktiv-dityachogo-ta-diietichnog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agrovolyn.gov.ua/news/na-volini-organizuvali-organichniy-pres-tur-foto-vide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grovolyn.gov.ua/news/vyvchennya-dosvidu-syrovariv-fot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grovolyn.gov.ua/news/volynski-fermery-vyvchaly-dosvid-syrovarinnya-fo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rovolyn.gov.ua/news/fermerske-gospodarstvo-vygotovlyaye-sy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C0EDE-244A-4DA5-9ADE-C0F3B1CB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2019-01-24T10:20:00Z</cp:lastPrinted>
  <dcterms:created xsi:type="dcterms:W3CDTF">2017-02-01T06:40:00Z</dcterms:created>
  <dcterms:modified xsi:type="dcterms:W3CDTF">2019-01-25T08:43:00Z</dcterms:modified>
</cp:coreProperties>
</file>